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34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/>
        <w:jc w:val="both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“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落实习近平总书记视察重庆重要讲话重要指示精神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贯彻市委六届五次全会精神”重大项目选题指南</w:t>
      </w:r>
    </w:p>
    <w:p w14:paraId="0E2D73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 w14:paraId="780A30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．重庆高质量打造新时代西部大开发重要战略支点研究</w:t>
      </w:r>
    </w:p>
    <w:p w14:paraId="10A1EEF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．重庆打造内陆开放综合枢纽研究</w:t>
      </w:r>
    </w:p>
    <w:p w14:paraId="1354E7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．重庆建设具有全国影响力的改革开放新高地研究</w:t>
      </w:r>
    </w:p>
    <w:p w14:paraId="5AA058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．重庆建设具有全国影响力的高品质生活宜居地研究</w:t>
      </w:r>
    </w:p>
    <w:p w14:paraId="3B460B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．重庆在发挥“三个作用”上展现更大作为研究</w:t>
      </w:r>
    </w:p>
    <w:p w14:paraId="61CDB3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．重庆建设具有全国影响力的重要经济中心研究</w:t>
      </w:r>
    </w:p>
    <w:p w14:paraId="3FDCC43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．重庆建设具有全国影响力的重要科技创新中心研究</w:t>
      </w:r>
    </w:p>
    <w:p w14:paraId="608434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．“中国式现代化、民生为大”的内涵要义研究</w:t>
      </w:r>
    </w:p>
    <w:p w14:paraId="4B4CB6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640" w:firstLineChars="2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．重庆增进民生福祉创造高品质生活研究</w:t>
      </w:r>
    </w:p>
    <w:p w14:paraId="0B37CF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firstLine="640" w:firstLineChars="20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．重庆主动融入和服务国家重大战略研究</w:t>
      </w:r>
    </w:p>
    <w:p w14:paraId="12092DB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．重庆全面筑牢长江上游重要生态屏障研究</w:t>
      </w:r>
    </w:p>
    <w:p w14:paraId="269101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．重庆构建以先进制造业为骨干的现代化产业体系研究</w:t>
      </w:r>
    </w:p>
    <w:p w14:paraId="0CA6C8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．重庆推进科技创新和产业创新深度融合研究</w:t>
      </w:r>
    </w:p>
    <w:p w14:paraId="02A8C5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．重庆加快未来产业研究</w:t>
      </w:r>
    </w:p>
    <w:p w14:paraId="7594E4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．重庆发展现代生产性服务业研究</w:t>
      </w:r>
    </w:p>
    <w:p w14:paraId="2B551D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-6"/>
          <w:sz w:val="32"/>
          <w:szCs w:val="32"/>
          <w:shd w:val="clear" w:fill="FFFFFF"/>
        </w:rPr>
        <w:t>重庆因地制宜发展新质生产力培育新业态新模式新动能</w:t>
      </w:r>
    </w:p>
    <w:p w14:paraId="222058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128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研究</w:t>
      </w:r>
    </w:p>
    <w:p w14:paraId="2CD941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．重庆构建民营经济发展新格局研究</w:t>
      </w:r>
    </w:p>
    <w:p w14:paraId="4EEEC3F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-11"/>
          <w:sz w:val="32"/>
          <w:szCs w:val="32"/>
          <w:shd w:val="clear" w:fill="FFFFFF"/>
        </w:rPr>
        <w:t>重庆推进以县（区）域为重要载体的新型城镇化建设研究</w:t>
      </w:r>
    </w:p>
    <w:p w14:paraId="7C030F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1280" w:right="0" w:hanging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-6"/>
          <w:sz w:val="32"/>
          <w:szCs w:val="32"/>
          <w:shd w:val="clear" w:fill="FFFFFF"/>
        </w:rPr>
        <w:t>成渝地区双城经济圈建设发挥全国高质量发展新的动力</w:t>
      </w:r>
    </w:p>
    <w:p w14:paraId="2266AC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128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源作用研究</w:t>
      </w:r>
    </w:p>
    <w:p w14:paraId="5F3342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．成渝地区共建西部金融中心策略研究</w:t>
      </w:r>
    </w:p>
    <w:p w14:paraId="1C9B24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．成渝地区共建巴蜀文化旅游走廊研究</w:t>
      </w:r>
    </w:p>
    <w:p w14:paraId="003DD9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．重庆探索首创性、差别化改革研究</w:t>
      </w:r>
    </w:p>
    <w:p w14:paraId="35D7691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．以数字重庆建设引领全面深化改革研究</w:t>
      </w:r>
    </w:p>
    <w:p w14:paraId="6C897A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．以西部陆海新通道建设推动对外开放新格局研究</w:t>
      </w:r>
    </w:p>
    <w:p w14:paraId="4896C0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．重庆探索推进陆海并进的内陆制度型开放研究</w:t>
      </w:r>
    </w:p>
    <w:p w14:paraId="1A7A2E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．重庆物流园区联运模式创新和科学管理水平提升研究</w:t>
      </w:r>
    </w:p>
    <w:p w14:paraId="33AACA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．重庆营造市场化法治化国际化一流营商环境研究</w:t>
      </w:r>
    </w:p>
    <w:p w14:paraId="0091FB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．重庆探索超大城市现代化治理新路子研究</w:t>
      </w:r>
    </w:p>
    <w:p w14:paraId="12F4C3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1280" w:right="0" w:hanging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．重庆建立健全“大综合一体化”城市综合治理体制机制研究</w:t>
      </w:r>
    </w:p>
    <w:p w14:paraId="1353DF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．重庆韧性城市建设研究</w:t>
      </w:r>
    </w:p>
    <w:p w14:paraId="0FE66C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．重庆提高社区精细化治理、精准化服务水平研究</w:t>
      </w:r>
    </w:p>
    <w:p w14:paraId="1B42E8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．重庆推进城乡融合发展研究</w:t>
      </w:r>
    </w:p>
    <w:p w14:paraId="5F8DD5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33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．城市工商资本、科技、人才下乡助力乡村振兴研究</w:t>
      </w:r>
    </w:p>
    <w:p w14:paraId="367BB5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．加快建设更高水平的平安重庆法治重庆研究</w:t>
      </w:r>
    </w:p>
    <w:p w14:paraId="25345D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．重庆打造西部地区高质量发展先行区研究</w:t>
      </w:r>
    </w:p>
    <w:p w14:paraId="7B824B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．重庆打造内陆开放国际合作引领区研究</w:t>
      </w:r>
    </w:p>
    <w:p w14:paraId="74BE7C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．重庆打造全面深化改革先行区研究</w:t>
      </w:r>
    </w:p>
    <w:p w14:paraId="2F5205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．重庆打造超大城市现代化治理示范区研究</w:t>
      </w:r>
    </w:p>
    <w:p w14:paraId="119966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．重庆打造城乡融合乡村振兴示范区研究</w:t>
      </w:r>
    </w:p>
    <w:p w14:paraId="17D478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9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．重庆打造美丽中国建设示范区研究</w:t>
      </w:r>
    </w:p>
    <w:p w14:paraId="0529C9E1"/>
    <w:sectPr>
      <w:pgSz w:w="11906" w:h="16838"/>
      <w:pgMar w:top="2154" w:right="1020" w:bottom="1417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TRhNjdiMzlkMzRmNGNkOWY1N2FiYTNlMzNjMWMifQ=="/>
  </w:docVars>
  <w:rsids>
    <w:rsidRoot w:val="638D2399"/>
    <w:rsid w:val="078D3A1F"/>
    <w:rsid w:val="281C077C"/>
    <w:rsid w:val="32A25D21"/>
    <w:rsid w:val="572528F9"/>
    <w:rsid w:val="638D2399"/>
    <w:rsid w:val="663175E0"/>
    <w:rsid w:val="68F82CA3"/>
    <w:rsid w:val="7EE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876</Words>
  <Characters>907</Characters>
  <Lines>0</Lines>
  <Paragraphs>0</Paragraphs>
  <TotalTime>1</TotalTime>
  <ScaleCrop>false</ScaleCrop>
  <LinksUpToDate>false</LinksUpToDate>
  <CharactersWithSpaces>908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2024-06-17T02:18:00Z</dcterms:created>
  <dc:creator>sifang</dc:creator>
  <cp:lastModifiedBy>sifang</cp:lastModifiedBy>
  <dcterms:modified xsi:type="dcterms:W3CDTF">2024-06-17T08:15:13Z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8673FDCAA07B46D9BC58C9F4637843E9_11</vt:lpwstr>
  </property>
</Properties>
</file>