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521CA">
      <w:pPr>
        <w:spacing w:line="240" w:lineRule="auto"/>
        <w:ind w:firstLine="0" w:firstLineChars="0"/>
        <w:rPr>
          <w:rFonts w:hint="eastAsia" w:ascii="方正黑体_GBK" w:hAnsi="Times New Roman" w:eastAsia="方正黑体_GBK" w:cs="宋体"/>
          <w:bCs/>
          <w:color w:val="000000" w:themeColor="text1"/>
          <w:kern w:val="0"/>
          <w:sz w:val="32"/>
          <w:szCs w:val="44"/>
          <w:lang w:val="en-US" w:eastAsia="zh-CN"/>
          <w14:textFill>
            <w14:solidFill>
              <w14:schemeClr w14:val="tx1"/>
            </w14:solidFill>
          </w14:textFill>
        </w:rPr>
      </w:pPr>
      <w:r>
        <w:rPr>
          <w:rFonts w:hint="eastAsia" w:ascii="方正黑体_GBK" w:hAnsi="Times New Roman" w:eastAsia="方正黑体_GBK" w:cs="宋体"/>
          <w:bCs/>
          <w:color w:val="000000" w:themeColor="text1"/>
          <w:kern w:val="0"/>
          <w:sz w:val="32"/>
          <w:szCs w:val="44"/>
          <w14:textFill>
            <w14:solidFill>
              <w14:schemeClr w14:val="tx1"/>
            </w14:solidFill>
          </w14:textFill>
        </w:rPr>
        <w:t>附件</w:t>
      </w:r>
      <w:r>
        <w:rPr>
          <w:rFonts w:hint="eastAsia" w:ascii="方正黑体_GBK" w:hAnsi="Times New Roman" w:eastAsia="方正黑体_GBK" w:cs="宋体"/>
          <w:bCs/>
          <w:color w:val="000000" w:themeColor="text1"/>
          <w:kern w:val="0"/>
          <w:sz w:val="32"/>
          <w:szCs w:val="44"/>
          <w:lang w:val="en-US" w:eastAsia="zh-CN"/>
          <w14:textFill>
            <w14:solidFill>
              <w14:schemeClr w14:val="tx1"/>
            </w14:solidFill>
          </w14:textFill>
        </w:rPr>
        <w:t>5</w:t>
      </w:r>
    </w:p>
    <w:p w14:paraId="24C9607D">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bookmarkStart w:id="5" w:name="_GoBack"/>
      <w:bookmarkEnd w:id="5"/>
    </w:p>
    <w:p w14:paraId="341B57EB">
      <w:pPr>
        <w:spacing w:line="240" w:lineRule="auto"/>
        <w:ind w:firstLine="0" w:firstLineChars="0"/>
        <w:jc w:val="center"/>
        <w:rPr>
          <w:rFonts w:ascii="华文中宋" w:hAnsi="Times New Roman" w:eastAsia="华文中宋" w:cs="宋体"/>
          <w:b/>
          <w:bCs/>
          <w:color w:val="000000" w:themeColor="text1"/>
          <w:kern w:val="0"/>
          <w:sz w:val="52"/>
          <w:szCs w:val="52"/>
          <w14:textFill>
            <w14:solidFill>
              <w14:schemeClr w14:val="tx1"/>
            </w14:solidFill>
          </w14:textFill>
        </w:rPr>
      </w:pPr>
    </w:p>
    <w:p w14:paraId="270263BA">
      <w:pPr>
        <w:spacing w:line="240" w:lineRule="auto"/>
        <w:ind w:firstLine="0" w:firstLineChars="0"/>
        <w:jc w:val="center"/>
        <w:rPr>
          <w:rFonts w:ascii="华文中宋" w:hAnsi="Times New Roman" w:eastAsia="华文中宋" w:cs="宋体"/>
          <w:b/>
          <w:bCs/>
          <w:color w:val="000000" w:themeColor="text1"/>
          <w:kern w:val="0"/>
          <w:sz w:val="52"/>
          <w:szCs w:val="52"/>
          <w14:textFill>
            <w14:solidFill>
              <w14:schemeClr w14:val="tx1"/>
            </w14:solidFill>
          </w14:textFill>
        </w:rPr>
      </w:pPr>
    </w:p>
    <w:p w14:paraId="04017BF1">
      <w:pPr>
        <w:spacing w:line="600" w:lineRule="exact"/>
        <w:ind w:firstLine="0" w:firstLineChars="0"/>
        <w:jc w:val="center"/>
        <w:rPr>
          <w:rFonts w:ascii="方正小标宋_GBK" w:hAnsi="Times New Roman" w:eastAsia="方正小标宋_GBK" w:cs="宋体"/>
          <w:b/>
          <w:bCs/>
          <w:color w:val="000000" w:themeColor="text1"/>
          <w:kern w:val="0"/>
          <w:sz w:val="44"/>
          <w:szCs w:val="52"/>
          <w14:textFill>
            <w14:solidFill>
              <w14:schemeClr w14:val="tx1"/>
            </w14:solidFill>
          </w14:textFill>
        </w:rPr>
      </w:pPr>
      <w:r>
        <w:rPr>
          <w:rFonts w:hint="eastAsia" w:ascii="方正小标宋_GBK" w:hAnsi="Times New Roman" w:eastAsia="方正小标宋_GBK" w:cs="宋体"/>
          <w:b/>
          <w:bCs/>
          <w:color w:val="000000" w:themeColor="text1"/>
          <w:kern w:val="0"/>
          <w:sz w:val="44"/>
          <w:szCs w:val="52"/>
          <w14:textFill>
            <w14:solidFill>
              <w14:schemeClr w14:val="tx1"/>
            </w14:solidFill>
          </w14:textFill>
        </w:rPr>
        <w:t>2025年度重庆市教委人文社会科学研究</w:t>
      </w:r>
    </w:p>
    <w:p w14:paraId="0D74BCFD">
      <w:pPr>
        <w:spacing w:line="600" w:lineRule="exact"/>
        <w:ind w:firstLine="0" w:firstLineChars="0"/>
        <w:jc w:val="center"/>
        <w:rPr>
          <w:rFonts w:ascii="方正小标宋_GBK" w:hAnsi="Times New Roman" w:eastAsia="方正小标宋_GBK" w:cs="宋体"/>
          <w:b/>
          <w:bCs/>
          <w:color w:val="000000" w:themeColor="text1"/>
          <w:kern w:val="0"/>
          <w:sz w:val="44"/>
          <w:szCs w:val="52"/>
          <w14:textFill>
            <w14:solidFill>
              <w14:schemeClr w14:val="tx1"/>
            </w14:solidFill>
          </w14:textFill>
        </w:rPr>
      </w:pPr>
      <w:r>
        <w:rPr>
          <w:rFonts w:hint="eastAsia" w:ascii="方正小标宋_GBK" w:hAnsi="Times New Roman" w:eastAsia="方正小标宋_GBK" w:cs="宋体"/>
          <w:b/>
          <w:bCs/>
          <w:color w:val="000000" w:themeColor="text1"/>
          <w:kern w:val="0"/>
          <w:sz w:val="44"/>
          <w:szCs w:val="52"/>
          <w14:textFill>
            <w14:solidFill>
              <w14:schemeClr w14:val="tx1"/>
            </w14:solidFill>
          </w14:textFill>
        </w:rPr>
        <w:t>项目指南</w:t>
      </w:r>
    </w:p>
    <w:p w14:paraId="6735DD52">
      <w:pPr>
        <w:spacing w:line="240" w:lineRule="auto"/>
        <w:ind w:firstLine="0" w:firstLineChars="0"/>
        <w:jc w:val="center"/>
        <w:rPr>
          <w:rFonts w:ascii="华文中宋" w:hAnsi="Times New Roman" w:eastAsia="华文中宋" w:cs="宋体"/>
          <w:b/>
          <w:bCs/>
          <w:color w:val="000000" w:themeColor="text1"/>
          <w:kern w:val="0"/>
          <w:sz w:val="36"/>
          <w:szCs w:val="36"/>
          <w14:textFill>
            <w14:solidFill>
              <w14:schemeClr w14:val="tx1"/>
            </w14:solidFill>
          </w14:textFill>
        </w:rPr>
      </w:pPr>
    </w:p>
    <w:p w14:paraId="116628C1">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763D3AD0">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65482E6A">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5CD2BA0A">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1F8D224D">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79833150">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5E880CB6">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3E06FED4">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380AEB0D">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3FA7A554">
      <w:pPr>
        <w:spacing w:line="240" w:lineRule="auto"/>
        <w:ind w:firstLine="0" w:firstLineChars="0"/>
        <w:jc w:val="center"/>
        <w:rPr>
          <w:rFonts w:ascii="楷体_GB2312" w:hAnsi="Times New Roman" w:eastAsia="楷体_GB2312" w:cs="宋体"/>
          <w:b/>
          <w:bCs/>
          <w:color w:val="000000" w:themeColor="text1"/>
          <w:kern w:val="0"/>
          <w:sz w:val="36"/>
          <w:szCs w:val="36"/>
          <w14:textFill>
            <w14:solidFill>
              <w14:schemeClr w14:val="tx1"/>
            </w14:solidFill>
          </w14:textFill>
        </w:rPr>
      </w:pPr>
    </w:p>
    <w:p w14:paraId="03BB48C8">
      <w:pPr>
        <w:spacing w:line="240" w:lineRule="auto"/>
        <w:ind w:firstLine="0" w:firstLineChars="0"/>
        <w:jc w:val="center"/>
        <w:rPr>
          <w:rFonts w:ascii="方正楷体_GBK" w:hAnsi="Times New Roman" w:eastAsia="方正楷体_GBK" w:cs="宋体"/>
          <w:bCs/>
          <w:color w:val="000000" w:themeColor="text1"/>
          <w:kern w:val="0"/>
          <w:sz w:val="36"/>
          <w:szCs w:val="36"/>
          <w14:textFill>
            <w14:solidFill>
              <w14:schemeClr w14:val="tx1"/>
            </w14:solidFill>
          </w14:textFill>
        </w:rPr>
      </w:pPr>
      <w:r>
        <w:rPr>
          <w:rFonts w:hint="eastAsia" w:ascii="方正楷体_GBK" w:hAnsi="Times New Roman" w:eastAsia="方正楷体_GBK" w:cs="宋体"/>
          <w:bCs/>
          <w:color w:val="000000" w:themeColor="text1"/>
          <w:kern w:val="0"/>
          <w:sz w:val="36"/>
          <w:szCs w:val="36"/>
          <w14:textFill>
            <w14:solidFill>
              <w14:schemeClr w14:val="tx1"/>
            </w14:solidFill>
          </w14:textFill>
        </w:rPr>
        <w:t>2024年12月</w:t>
      </w:r>
    </w:p>
    <w:p w14:paraId="4C5F2F5F">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pPr>
    </w:p>
    <w:p w14:paraId="355B9F9F">
      <w:pPr>
        <w:spacing w:line="240" w:lineRule="auto"/>
        <w:ind w:firstLine="0" w:firstLineChars="0"/>
        <w:jc w:val="center"/>
        <w:rPr>
          <w:rFonts w:ascii="黑体" w:hAnsi="Times New Roman" w:eastAsia="黑体" w:cs="宋体"/>
          <w:b/>
          <w:bCs/>
          <w:color w:val="000000" w:themeColor="text1"/>
          <w:kern w:val="0"/>
          <w:sz w:val="44"/>
          <w:szCs w:val="4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361" w:right="1797" w:bottom="1361" w:left="1797" w:header="851" w:footer="992" w:gutter="0"/>
          <w:pgNumType w:start="1"/>
          <w:cols w:space="720" w:num="1"/>
          <w:docGrid w:type="lines" w:linePitch="312" w:charSpace="0"/>
        </w:sectPr>
      </w:pPr>
    </w:p>
    <w:p w14:paraId="0DD4C0CA">
      <w:pPr>
        <w:widowControl w:val="0"/>
        <w:autoSpaceDN w:val="0"/>
        <w:spacing w:line="600" w:lineRule="exact"/>
        <w:ind w:firstLine="0" w:firstLineChars="0"/>
        <w:jc w:val="center"/>
        <w:textAlignment w:val="center"/>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说  明</w:t>
      </w:r>
    </w:p>
    <w:p w14:paraId="702278F4">
      <w:pPr>
        <w:widowControl w:val="0"/>
        <w:autoSpaceDN w:val="0"/>
        <w:spacing w:line="600" w:lineRule="exact"/>
        <w:ind w:firstLine="640"/>
        <w:textAlignment w:val="center"/>
        <w:rPr>
          <w:rFonts w:ascii="方正仿宋_GBK" w:hAnsi="Times New Roman" w:eastAsia="方正仿宋_GBK" w:cs="宋体"/>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1.根据国家质量技术监督局2009</w:t>
      </w:r>
      <w:r>
        <w:rPr>
          <w:rFonts w:hint="eastAsia" w:ascii="方正仿宋_GBK" w:hAnsi="Times New Roman" w:eastAsia="方正仿宋_GBK" w:cs="宋体"/>
          <w:bCs/>
          <w:color w:val="000000" w:themeColor="text1"/>
          <w:kern w:val="0"/>
          <w:sz w:val="32"/>
          <w:szCs w:val="32"/>
          <w14:textFill>
            <w14:solidFill>
              <w14:schemeClr w14:val="tx1"/>
            </w14:solidFill>
          </w14:textFill>
        </w:rPr>
        <w:t>年公布的《学科分类与代码》和高校的实际情况，本次项目申报的学科范围包括：马克思主义理论/思想政治教育、哲学、政治学、国际问题研究、语言学、中国文学、外国文学、艺术学、历史学、考古学、经济学、统计学、管理学、法学、社会学、人口学、民族学、新闻与传播学、图书情报文献学、教育学/心理学、体育学。</w:t>
      </w:r>
    </w:p>
    <w:p w14:paraId="75180085">
      <w:pPr>
        <w:widowControl w:val="0"/>
        <w:autoSpaceDN w:val="0"/>
        <w:spacing w:line="600" w:lineRule="exact"/>
        <w:ind w:firstLine="640"/>
        <w:textAlignment w:val="center"/>
        <w:rPr>
          <w:rFonts w:ascii="方正仿宋_GBK" w:hAnsi="Times New Roman" w:eastAsia="方正仿宋_GBK" w:cs="宋体"/>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2.本</w:t>
      </w:r>
      <w:r>
        <w:rPr>
          <w:rFonts w:hint="eastAsia" w:ascii="方正仿宋_GBK" w:hAnsi="Times New Roman" w:eastAsia="方正仿宋_GBK" w:cs="宋体"/>
          <w:bCs/>
          <w:color w:val="000000" w:themeColor="text1"/>
          <w:kern w:val="0"/>
          <w:sz w:val="32"/>
          <w:szCs w:val="32"/>
          <w14:textFill>
            <w14:solidFill>
              <w14:schemeClr w14:val="tx1"/>
            </w14:solidFill>
          </w14:textFill>
        </w:rPr>
        <w:t>“选题指南”主要是方向性条目，申请人可选择不同学科的研究角度和侧重点设计具体题目申报。分为重大、重点和一般项目，其中，重大项目的条目单列，重点项目须是从带“*”号的条目中进行选择。</w:t>
      </w:r>
      <w:r>
        <w:rPr>
          <w:rFonts w:hint="eastAsia" w:ascii="方正仿宋_GBK" w:hAnsi="Times New Roman" w:eastAsia="方正仿宋_GBK" w:cs="Times New Roman"/>
          <w:color w:val="000000" w:themeColor="text1"/>
          <w:sz w:val="32"/>
          <w:szCs w:val="32"/>
          <w14:textFill>
            <w14:solidFill>
              <w14:schemeClr w14:val="tx1"/>
            </w14:solidFill>
          </w14:textFill>
        </w:rPr>
        <w:t>其他未列出选题的学科，</w:t>
      </w:r>
      <w:r>
        <w:rPr>
          <w:rFonts w:hint="eastAsia" w:ascii="方正仿宋_GBK" w:hAnsi="Times New Roman" w:eastAsia="方正仿宋_GBK" w:cs="Times New Roman"/>
          <w:color w:val="000000" w:themeColor="text1"/>
          <w:spacing w:val="-6"/>
          <w:sz w:val="32"/>
          <w:szCs w:val="32"/>
          <w14:textFill>
            <w14:solidFill>
              <w14:schemeClr w14:val="tx1"/>
            </w14:solidFill>
          </w14:textFill>
        </w:rPr>
        <w:t>可</w:t>
      </w:r>
      <w:r>
        <w:rPr>
          <w:rFonts w:hint="eastAsia" w:ascii="方正仿宋_GBK" w:hAnsi="Times New Roman" w:eastAsia="方正仿宋_GBK" w:cs="Times New Roman"/>
          <w:color w:val="000000" w:themeColor="text1"/>
          <w:sz w:val="32"/>
          <w:szCs w:val="32"/>
          <w14:textFill>
            <w14:solidFill>
              <w14:schemeClr w14:val="tx1"/>
            </w14:solidFill>
          </w14:textFill>
        </w:rPr>
        <w:t>依据研究的主要内容，按照“</w:t>
      </w:r>
      <w:r>
        <w:rPr>
          <w:rFonts w:hint="eastAsia" w:ascii="方正仿宋_GBK" w:hAnsi="Times New Roman" w:eastAsia="方正仿宋_GBK" w:cs="宋体"/>
          <w:bCs/>
          <w:color w:val="000000" w:themeColor="text1"/>
          <w:kern w:val="0"/>
          <w:sz w:val="32"/>
          <w:szCs w:val="32"/>
          <w14:textFill>
            <w14:solidFill>
              <w14:schemeClr w14:val="tx1"/>
            </w14:solidFill>
          </w14:textFill>
        </w:rPr>
        <w:t>相近”原则，确定学科归属。</w:t>
      </w:r>
    </w:p>
    <w:p w14:paraId="194D705C">
      <w:pPr>
        <w:widowControl w:val="0"/>
        <w:autoSpaceDN w:val="0"/>
        <w:spacing w:line="600" w:lineRule="exact"/>
        <w:ind w:firstLine="640"/>
        <w:textAlignment w:val="center"/>
        <w:rPr>
          <w:rFonts w:ascii="方正仿宋_GBK" w:hAnsi="Times New Roman" w:eastAsia="方正仿宋_GBK" w:cs="宋体"/>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3.申请</w:t>
      </w:r>
      <w:r>
        <w:rPr>
          <w:rFonts w:hint="eastAsia" w:ascii="方正仿宋_GBK" w:hAnsi="Times New Roman" w:eastAsia="方正仿宋_GBK" w:cs="宋体"/>
          <w:bCs/>
          <w:color w:val="000000" w:themeColor="text1"/>
          <w:kern w:val="0"/>
          <w:sz w:val="32"/>
          <w:szCs w:val="32"/>
          <w14:textFill>
            <w14:solidFill>
              <w14:schemeClr w14:val="tx1"/>
            </w14:solidFill>
          </w14:textFill>
        </w:rPr>
        <w:t>人可根据自身学术积累，围绕学习贯彻党的二十届三中全会精神和习近平总书记视察重庆重要讲话重要指示精神，聚焦国家重大战略和重庆经济社会发展需求，自主选题进行申报。</w:t>
      </w:r>
    </w:p>
    <w:p w14:paraId="69A3CD64">
      <w:pPr>
        <w:widowControl w:val="0"/>
        <w:autoSpaceDN w:val="0"/>
        <w:spacing w:line="600" w:lineRule="exact"/>
        <w:ind w:firstLine="640"/>
        <w:textAlignment w:val="center"/>
        <w:rPr>
          <w:rFonts w:ascii="方正仿宋_GBK" w:hAnsi="Times New Roman" w:eastAsia="方正仿宋_GBK" w:cs="宋体"/>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4.申</w:t>
      </w:r>
      <w:r>
        <w:rPr>
          <w:rFonts w:hint="eastAsia" w:ascii="方正仿宋_GBK" w:hAnsi="Times New Roman" w:eastAsia="方正仿宋_GBK" w:cs="宋体"/>
          <w:bCs/>
          <w:color w:val="000000" w:themeColor="text1"/>
          <w:kern w:val="0"/>
          <w:sz w:val="32"/>
          <w:szCs w:val="32"/>
          <w14:textFill>
            <w14:solidFill>
              <w14:schemeClr w14:val="tx1"/>
            </w14:solidFill>
          </w14:textFill>
        </w:rPr>
        <w:t>报题目的表述应科学、严谨、规范、简明，一般不加副标题。</w:t>
      </w:r>
    </w:p>
    <w:p w14:paraId="699C7384">
      <w:pPr>
        <w:pStyle w:val="2"/>
        <w:spacing w:before="0" w:after="0" w:line="600" w:lineRule="exact"/>
        <w:ind w:firstLine="0" w:firstLineChars="0"/>
        <w:jc w:val="center"/>
        <w:rPr>
          <w:rFonts w:ascii="黑体" w:hAnsi="黑体" w:eastAsia="黑体" w:cs="宋体"/>
          <w:color w:val="000000" w:themeColor="text1"/>
          <w:kern w:val="0"/>
          <w:sz w:val="32"/>
          <w:szCs w:val="32"/>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1985" w:right="1446" w:bottom="1644" w:left="1446" w:header="851" w:footer="992" w:gutter="0"/>
          <w:cols w:space="425" w:num="1"/>
          <w:docGrid w:type="lines" w:linePitch="312" w:charSpace="0"/>
        </w:sectPr>
      </w:pPr>
    </w:p>
    <w:p w14:paraId="4BF5C6EB">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重大项目</w:t>
      </w:r>
    </w:p>
    <w:p w14:paraId="0ABB65AA">
      <w:pPr>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1.习</w:t>
      </w:r>
      <w:r>
        <w:rPr>
          <w:rFonts w:hint="eastAsia" w:ascii="仿宋_GB2312" w:hAnsi="Times New Roman" w:eastAsia="仿宋_GB2312" w:cs="Times New Roman"/>
          <w:color w:val="000000" w:themeColor="text1"/>
          <w:sz w:val="32"/>
          <w:szCs w:val="32"/>
          <w14:textFill>
            <w14:solidFill>
              <w14:schemeClr w14:val="tx1"/>
            </w14:solidFill>
          </w14:textFill>
        </w:rPr>
        <w:t>近平新时代中国特色社会主义思想体系化学理化研究</w:t>
      </w:r>
    </w:p>
    <w:p w14:paraId="6A1386A0">
      <w:pPr>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“两个结合”与马克思主义中国化时代化</w:t>
      </w:r>
    </w:p>
    <w:p w14:paraId="7F3D864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3.马克思主义经典著作研究</w:t>
      </w:r>
    </w:p>
    <w:p w14:paraId="4637CBA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4.中国特色哲学自主知识体系研究</w:t>
      </w:r>
    </w:p>
    <w:p w14:paraId="3F7765B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5.马克思主义中国化时代化的哲学研究</w:t>
      </w:r>
    </w:p>
    <w:p w14:paraId="71E2048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6.构建中国特色政治学自主知识体系研究</w:t>
      </w:r>
    </w:p>
    <w:p w14:paraId="004174F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7.国家治理体系与治理能力现代化的理论建构与实践路径</w:t>
      </w:r>
    </w:p>
    <w:p w14:paraId="1AD208A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8.大国关系演变趋势及其对中国国际环境的影响研究</w:t>
      </w:r>
    </w:p>
    <w:p w14:paraId="6FBEC012">
      <w:pPr>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9.人</w:t>
      </w:r>
      <w:r>
        <w:rPr>
          <w:rFonts w:hint="eastAsia" w:ascii="仿宋_GB2312" w:hAnsi="Times New Roman" w:eastAsia="仿宋_GB2312" w:cs="Times New Roman"/>
          <w:color w:val="000000" w:themeColor="text1"/>
          <w:sz w:val="32"/>
          <w:szCs w:val="32"/>
          <w14:textFill>
            <w14:solidFill>
              <w14:schemeClr w14:val="tx1"/>
            </w14:solidFill>
          </w14:textFill>
        </w:rPr>
        <w:t>类命运共同体与中国国际关系理论创新研究</w:t>
      </w:r>
    </w:p>
    <w:p w14:paraId="47DA2F6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10.中国优秀传统文化跨语叙事与话语构建研究</w:t>
      </w:r>
    </w:p>
    <w:p w14:paraId="36FD441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11.中外语言对比研究</w:t>
      </w:r>
    </w:p>
    <w:p w14:paraId="709462C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12.中国网络文学的世界传播和影响研究</w:t>
      </w:r>
    </w:p>
    <w:p w14:paraId="67F819A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13.中国文学在世界文明进程中的作用和影响研究</w:t>
      </w:r>
    </w:p>
    <w:p w14:paraId="5A30FFD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14.世界文学基本文献的整理、翻译与研究</w:t>
      </w:r>
    </w:p>
    <w:p w14:paraId="272CF01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15.中国式现代化进程中艺术高质量发展研究</w:t>
      </w:r>
    </w:p>
    <w:p w14:paraId="423B7FE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16.国家文化数字化发展现状及策略研究</w:t>
      </w:r>
    </w:p>
    <w:p w14:paraId="32C54AC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17.中国超大规模国家治理的历史镜鉴研究</w:t>
      </w:r>
    </w:p>
    <w:p w14:paraId="09D1D7A3">
      <w:pPr>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18.全</w:t>
      </w:r>
      <w:r>
        <w:rPr>
          <w:rFonts w:hint="eastAsia" w:ascii="仿宋_GB2312" w:hAnsi="Times New Roman" w:eastAsia="仿宋_GB2312" w:cs="Times New Roman"/>
          <w:color w:val="000000" w:themeColor="text1"/>
          <w:sz w:val="32"/>
          <w:szCs w:val="32"/>
          <w14:textFill>
            <w14:solidFill>
              <w14:schemeClr w14:val="tx1"/>
            </w14:solidFill>
          </w14:textFill>
        </w:rPr>
        <w:t>球史视野中的中国史研究</w:t>
      </w:r>
    </w:p>
    <w:p w14:paraId="1FE62013">
      <w:pPr>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w:t>
      </w:r>
      <w:r>
        <w:rPr>
          <w:rFonts w:hint="eastAsia" w:ascii="仿宋_GB2312" w:hAnsi="Times New Roman" w:eastAsia="仿宋_GB2312" w:cs="Times New Roman"/>
          <w:color w:val="000000" w:themeColor="text1"/>
          <w:sz w:val="32"/>
          <w:szCs w:val="32"/>
          <w14:textFill>
            <w14:solidFill>
              <w14:schemeClr w14:val="tx1"/>
            </w14:solidFill>
          </w14:textFill>
        </w:rPr>
        <w:t>重庆古代经济、文化与社会发展的考古学研究</w:t>
      </w:r>
    </w:p>
    <w:p w14:paraId="56B635F8">
      <w:pPr>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20.</w:t>
      </w:r>
      <w:r>
        <w:rPr>
          <w:rFonts w:hint="eastAsia" w:ascii="仿宋_GB2312" w:hAnsi="Times New Roman" w:eastAsia="仿宋_GB2312" w:cs="Times New Roman"/>
          <w:color w:val="000000" w:themeColor="text1"/>
          <w:sz w:val="32"/>
          <w:szCs w:val="32"/>
          <w14:textFill>
            <w14:solidFill>
              <w14:schemeClr w14:val="tx1"/>
            </w14:solidFill>
          </w14:textFill>
        </w:rPr>
        <w:t>加快形成新质生产力的主攻方向与政策保障研究</w:t>
      </w:r>
    </w:p>
    <w:p w14:paraId="6954B6B8">
      <w:pPr>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21.</w:t>
      </w:r>
      <w:r>
        <w:rPr>
          <w:rFonts w:hint="eastAsia" w:ascii="仿宋_GB2312" w:hAnsi="Times New Roman" w:eastAsia="仿宋_GB2312" w:cs="Times New Roman"/>
          <w:color w:val="000000" w:themeColor="text1"/>
          <w:sz w:val="32"/>
          <w:szCs w:val="32"/>
          <w14:textFill>
            <w14:solidFill>
              <w14:schemeClr w14:val="tx1"/>
            </w14:solidFill>
          </w14:textFill>
        </w:rPr>
        <w:t>人工智能技术变革对我国经济社会发展的影响及对策研究</w:t>
      </w:r>
    </w:p>
    <w:p w14:paraId="04D61BD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22.经济高质量发展的指标体系构建与测度研究</w:t>
      </w:r>
    </w:p>
    <w:p w14:paraId="449263B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23.人工智能大模型的统计理论方法与应用研究</w:t>
      </w:r>
    </w:p>
    <w:p w14:paraId="2A0B51C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24.构筑国有和民营企业高质量协同发展新格局新机制研究</w:t>
      </w:r>
    </w:p>
    <w:p w14:paraId="0C05C56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25.数字政府的法治构建研究</w:t>
      </w:r>
    </w:p>
    <w:p w14:paraId="74D982C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26.新发展阶段我国社会流动新趋势新问题与治理创新研究</w:t>
      </w:r>
    </w:p>
    <w:p w14:paraId="0730541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27.中国式现代化进程中的社会结构变化和社会流动机制研究</w:t>
      </w:r>
    </w:p>
    <w:p w14:paraId="51FC146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28.以人口高质量发展支撑中国式现代化的理论与政策研究</w:t>
      </w:r>
    </w:p>
    <w:p w14:paraId="6453E16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29.中国人口增长趋势、结构变迁、社会影响及对策研究</w:t>
      </w:r>
    </w:p>
    <w:p w14:paraId="4A1089F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30.中华民族共同体的文化建构研究</w:t>
      </w:r>
    </w:p>
    <w:p w14:paraId="127B982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31.世界百年未有之大变局视野下的世界民族问题发展态势研究</w:t>
      </w:r>
    </w:p>
    <w:p w14:paraId="1517A96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32.中国文化对外传播话语构建、叙事策略与效果评价研究</w:t>
      </w:r>
    </w:p>
    <w:p w14:paraId="343A006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33.新世纪以来国际传播格局演化及应对研究</w:t>
      </w:r>
    </w:p>
    <w:p w14:paraId="6627402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34.数智时代图书馆的统计和评价研究</w:t>
      </w:r>
    </w:p>
    <w:p w14:paraId="1D4E467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35.数据驱动的图书馆精细化管理和智慧化运营模式研究</w:t>
      </w:r>
    </w:p>
    <w:p w14:paraId="1072A2E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w:t>
      </w:r>
      <w:r>
        <w:rPr>
          <w:rFonts w:ascii="Times New Roman" w:hAnsi="Times New Roman" w:eastAsia="方正仿宋_GBK" w:cs="Times New Roman"/>
          <w:bCs/>
          <w:color w:val="000000" w:themeColor="text1"/>
          <w:kern w:val="0"/>
          <w:sz w:val="32"/>
          <w:szCs w:val="32"/>
          <w14:textFill>
            <w14:solidFill>
              <w14:schemeClr w14:val="tx1"/>
            </w14:solidFill>
          </w14:textFill>
        </w:rPr>
        <w:t>6</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.近现代我国体育教育思想传承与创新研究</w:t>
      </w:r>
    </w:p>
    <w:p w14:paraId="19068DE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w:t>
      </w:r>
      <w:r>
        <w:rPr>
          <w:rFonts w:ascii="Times New Roman" w:hAnsi="Times New Roman" w:eastAsia="方正仿宋_GBK" w:cs="Times New Roman"/>
          <w:bCs/>
          <w:color w:val="000000" w:themeColor="text1"/>
          <w:kern w:val="0"/>
          <w:sz w:val="32"/>
          <w:szCs w:val="32"/>
          <w14:textFill>
            <w14:solidFill>
              <w14:schemeClr w14:val="tx1"/>
            </w14:solidFill>
          </w14:textFill>
        </w:rPr>
        <w:t>7</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.新型举国体制下竞技体育高质量发展研究</w:t>
      </w:r>
    </w:p>
    <w:p w14:paraId="346D336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w:t>
      </w:r>
      <w:r>
        <w:rPr>
          <w:rFonts w:ascii="Times New Roman" w:hAnsi="Times New Roman" w:eastAsia="方正仿宋_GBK" w:cs="Times New Roman"/>
          <w:bCs/>
          <w:color w:val="000000" w:themeColor="text1"/>
          <w:kern w:val="0"/>
          <w:sz w:val="32"/>
          <w:szCs w:val="32"/>
          <w14:textFill>
            <w14:solidFill>
              <w14:schemeClr w14:val="tx1"/>
            </w14:solidFill>
          </w14:textFill>
        </w:rPr>
        <w:t>8</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.重庆</w:t>
      </w:r>
      <w:r>
        <w:rPr>
          <w:rFonts w:ascii="Times New Roman" w:hAnsi="Times New Roman" w:eastAsia="方正仿宋_GBK" w:cs="Times New Roman"/>
          <w:bCs/>
          <w:color w:val="000000" w:themeColor="text1"/>
          <w:kern w:val="0"/>
          <w:sz w:val="32"/>
          <w:szCs w:val="32"/>
          <w14:textFill>
            <w14:solidFill>
              <w14:schemeClr w14:val="tx1"/>
            </w14:solidFill>
          </w14:textFill>
        </w:rPr>
        <w:t>推进</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教育科技人才一体化发展的</w:t>
      </w:r>
      <w:r>
        <w:rPr>
          <w:rFonts w:ascii="Times New Roman" w:hAnsi="Times New Roman" w:eastAsia="方正仿宋_GBK" w:cs="Times New Roman"/>
          <w:bCs/>
          <w:color w:val="000000" w:themeColor="text1"/>
          <w:kern w:val="0"/>
          <w:sz w:val="32"/>
          <w:szCs w:val="32"/>
          <w14:textFill>
            <w14:solidFill>
              <w14:schemeClr w14:val="tx1"/>
            </w14:solidFill>
          </w14:textFill>
        </w:rPr>
        <w:t>路径</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与</w:t>
      </w:r>
      <w:r>
        <w:rPr>
          <w:rFonts w:ascii="Times New Roman" w:hAnsi="Times New Roman" w:eastAsia="方正仿宋_GBK" w:cs="Times New Roman"/>
          <w:bCs/>
          <w:color w:val="000000" w:themeColor="text1"/>
          <w:kern w:val="0"/>
          <w:sz w:val="32"/>
          <w:szCs w:val="32"/>
          <w14:textFill>
            <w14:solidFill>
              <w14:schemeClr w14:val="tx1"/>
            </w14:solidFill>
          </w14:textFill>
        </w:rPr>
        <w:t>效应</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研究</w:t>
      </w:r>
    </w:p>
    <w:p w14:paraId="43E0123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w:t>
      </w:r>
      <w:r>
        <w:rPr>
          <w:rFonts w:ascii="Times New Roman" w:hAnsi="Times New Roman" w:eastAsia="方正仿宋_GBK" w:cs="Times New Roman"/>
          <w:bCs/>
          <w:color w:val="000000" w:themeColor="text1"/>
          <w:kern w:val="0"/>
          <w:sz w:val="32"/>
          <w:szCs w:val="32"/>
          <w14:textFill>
            <w14:solidFill>
              <w14:schemeClr w14:val="tx1"/>
            </w14:solidFill>
          </w14:textFill>
        </w:rPr>
        <w:t>9</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.重庆打造西部基础教育排头兵的政策与路径研究</w:t>
      </w:r>
    </w:p>
    <w:p w14:paraId="6F2C5BC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40</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.重庆建设全国职业教育重镇的战略任务</w:t>
      </w:r>
      <w:r>
        <w:rPr>
          <w:rFonts w:ascii="Times New Roman" w:hAnsi="Times New Roman" w:eastAsia="方正仿宋_GBK" w:cs="Times New Roman"/>
          <w:bCs/>
          <w:color w:val="000000" w:themeColor="text1"/>
          <w:kern w:val="0"/>
          <w:sz w:val="32"/>
          <w:szCs w:val="32"/>
          <w14:textFill>
            <w14:solidFill>
              <w14:schemeClr w14:val="tx1"/>
            </w14:solidFill>
          </w14:textFill>
        </w:rPr>
        <w:t>与</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实施</w:t>
      </w:r>
      <w:r>
        <w:rPr>
          <w:rFonts w:ascii="Times New Roman" w:hAnsi="Times New Roman" w:eastAsia="方正仿宋_GBK" w:cs="Times New Roman"/>
          <w:bCs/>
          <w:color w:val="000000" w:themeColor="text1"/>
          <w:kern w:val="0"/>
          <w:sz w:val="32"/>
          <w:szCs w:val="32"/>
          <w14:textFill>
            <w14:solidFill>
              <w14:schemeClr w14:val="tx1"/>
            </w14:solidFill>
          </w14:textFill>
        </w:rPr>
        <w:t>路径研究</w:t>
      </w:r>
    </w:p>
    <w:p w14:paraId="0E7DBEF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41</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.重庆高等教育综合改革的主攻方向、政策</w:t>
      </w:r>
      <w:r>
        <w:rPr>
          <w:rFonts w:ascii="Times New Roman" w:hAnsi="Times New Roman" w:eastAsia="方正仿宋_GBK" w:cs="Times New Roman"/>
          <w:bCs/>
          <w:color w:val="000000" w:themeColor="text1"/>
          <w:kern w:val="0"/>
          <w:sz w:val="32"/>
          <w:szCs w:val="32"/>
          <w14:textFill>
            <w14:solidFill>
              <w14:schemeClr w14:val="tx1"/>
            </w14:solidFill>
          </w14:textFill>
        </w:rPr>
        <w:t>保障与典型</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经验</w:t>
      </w:r>
      <w:r>
        <w:rPr>
          <w:rFonts w:ascii="Times New Roman" w:hAnsi="Times New Roman" w:eastAsia="方正仿宋_GBK" w:cs="Times New Roman"/>
          <w:bCs/>
          <w:color w:val="000000" w:themeColor="text1"/>
          <w:kern w:val="0"/>
          <w:sz w:val="32"/>
          <w:szCs w:val="32"/>
          <w14:textFill>
            <w14:solidFill>
              <w14:schemeClr w14:val="tx1"/>
            </w14:solidFill>
          </w14:textFill>
        </w:rPr>
        <w:t>研究</w:t>
      </w:r>
    </w:p>
    <w:p w14:paraId="44857F0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kern w:val="0"/>
          <w:sz w:val="32"/>
          <w:szCs w:val="32"/>
          <w14:textFill>
            <w14:solidFill>
              <w14:schemeClr w14:val="tx1"/>
            </w14:solidFill>
          </w14:textFill>
        </w:rPr>
        <w:t>42</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.重庆教育开放合作的体系建设与</w:t>
      </w:r>
      <w:r>
        <w:rPr>
          <w:rFonts w:ascii="Times New Roman" w:hAnsi="Times New Roman" w:eastAsia="方正仿宋_GBK" w:cs="Times New Roman"/>
          <w:bCs/>
          <w:color w:val="000000" w:themeColor="text1"/>
          <w:kern w:val="0"/>
          <w:sz w:val="32"/>
          <w:szCs w:val="32"/>
          <w14:textFill>
            <w14:solidFill>
              <w14:schemeClr w14:val="tx1"/>
            </w14:solidFill>
          </w14:textFill>
        </w:rPr>
        <w:t>促进</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机制研究</w:t>
      </w:r>
    </w:p>
    <w:p w14:paraId="542A814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43.重庆教育服务高质量发展的能力提升</w:t>
      </w:r>
      <w:r>
        <w:rPr>
          <w:rFonts w:ascii="Times New Roman" w:hAnsi="Times New Roman" w:eastAsia="方正仿宋_GBK" w:cs="Times New Roman"/>
          <w:bCs/>
          <w:color w:val="000000" w:themeColor="text1"/>
          <w:kern w:val="0"/>
          <w:sz w:val="32"/>
          <w:szCs w:val="32"/>
          <w14:textFill>
            <w14:solidFill>
              <w14:schemeClr w14:val="tx1"/>
            </w14:solidFill>
          </w14:textFill>
        </w:rPr>
        <w:t>战略研究</w:t>
      </w:r>
    </w:p>
    <w:p w14:paraId="48B688D8">
      <w:pPr>
        <w:spacing w:line="600" w:lineRule="exact"/>
        <w:ind w:left="502" w:hanging="502" w:hangingChars="157"/>
        <w:rPr>
          <w:rFonts w:ascii="仿宋_GB2312" w:hAnsi="Times New Roman" w:eastAsia="仿宋_GB2312" w:cs="Times New Roman"/>
          <w:color w:val="000000" w:themeColor="text1"/>
          <w:sz w:val="32"/>
          <w:szCs w:val="32"/>
          <w:highlight w:val="yellow"/>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0833498D">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马克思主义理论/思想政治教育</w:t>
      </w:r>
    </w:p>
    <w:p w14:paraId="25DB125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1.习近平总书记关于新质生产力重要论述研究</w:t>
      </w:r>
    </w:p>
    <w:p w14:paraId="1B1664F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2.马克思主义中国化时代化的历史进程及规律研究</w:t>
      </w:r>
    </w:p>
    <w:p w14:paraId="652B5B8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3.马克思主义发展史重要问题研究</w:t>
      </w:r>
    </w:p>
    <w:p w14:paraId="33BC966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4.马克思主义现代化理论研究</w:t>
      </w:r>
    </w:p>
    <w:p w14:paraId="5958081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5.马克思主义与当代思潮前沿问题研究</w:t>
      </w:r>
    </w:p>
    <w:p w14:paraId="48F41BD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6.国外马克思主义前沿问题研究</w:t>
      </w:r>
    </w:p>
    <w:p w14:paraId="555C0A1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7.马克思主义与数字文明研究</w:t>
      </w:r>
    </w:p>
    <w:p w14:paraId="42E76B9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8.当代资本主义新发展研究</w:t>
      </w:r>
    </w:p>
    <w:p w14:paraId="35DF232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9.马克思主义政治经济学的前沿问题与创新研究</w:t>
      </w:r>
    </w:p>
    <w:p w14:paraId="0606E2B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10.中华民族共同体研究</w:t>
      </w:r>
    </w:p>
    <w:p w14:paraId="260A629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11.推进国家治理体系和治理能力现代化研究</w:t>
      </w:r>
    </w:p>
    <w:p w14:paraId="22B20B3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12.人工智能时代人的自由全面发展研究</w:t>
      </w:r>
    </w:p>
    <w:p w14:paraId="367EFFC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13.中国式现代化与教育改革创新研究</w:t>
      </w:r>
    </w:p>
    <w:p w14:paraId="78BC204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14.新时代青年的价值选择及信仰塑造研究</w:t>
      </w:r>
    </w:p>
    <w:p w14:paraId="626ADE2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15.智媒时代主流意识形态传播研究</w:t>
      </w:r>
    </w:p>
    <w:p w14:paraId="513805B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16.智能技术赋能思想政治工作研究</w:t>
      </w:r>
    </w:p>
    <w:p w14:paraId="053C524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17.重庆红色文化资源整理与开发研究</w:t>
      </w:r>
    </w:p>
    <w:p w14:paraId="1B31CF2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18.重庆高校思政课高质量发展研究</w:t>
      </w:r>
    </w:p>
    <w:p w14:paraId="0FEB96C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19.中国式现代化的重庆创新实践研究</w:t>
      </w:r>
    </w:p>
    <w:p w14:paraId="6EC3936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20.重庆的城市精神与文化创造力研究</w:t>
      </w:r>
    </w:p>
    <w:p w14:paraId="066A878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21.党建引领重庆市基层社会治理研究</w:t>
      </w:r>
    </w:p>
    <w:p w14:paraId="1235EB5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22.马克思主义基本原理同中华优秀传统文化相结合的重庆实践研究</w:t>
      </w:r>
    </w:p>
    <w:p w14:paraId="37E447C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23.城乡精神文明建设融合发展的重庆实践研究</w:t>
      </w:r>
    </w:p>
    <w:p w14:paraId="737124B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24.新时代全民国防教育的重庆实践研究</w:t>
      </w:r>
    </w:p>
    <w:p w14:paraId="0BB2C152">
      <w:pPr>
        <w:spacing w:line="600" w:lineRule="exact"/>
        <w:ind w:firstLine="64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br w:type="page"/>
      </w:r>
    </w:p>
    <w:p w14:paraId="6D3C058D">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哲学</w:t>
      </w:r>
    </w:p>
    <w:p w14:paraId="7A13ABD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1.“两个结合”的哲学研究</w:t>
      </w:r>
    </w:p>
    <w:p w14:paraId="2E20650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2.新质生产力哲学研究</w:t>
      </w:r>
    </w:p>
    <w:p w14:paraId="5A90B2F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3.马克思主义文化理论哲学研究</w:t>
      </w:r>
    </w:p>
    <w:p w14:paraId="3F68714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4.马克思主义哲学原理与前沿问题研究</w:t>
      </w:r>
    </w:p>
    <w:p w14:paraId="4DFF5ED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5.马克思主义哲学经典文本与当代意义研究</w:t>
      </w:r>
    </w:p>
    <w:p w14:paraId="14DBA9A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6.国外马克思主义哲学研究</w:t>
      </w:r>
    </w:p>
    <w:p w14:paraId="5EE2AC7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7.马克思主义世界历史理论与当代意义研究</w:t>
      </w:r>
    </w:p>
    <w:p w14:paraId="0389398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8.马克思主义哲学、中国哲学、外国哲学比较研究</w:t>
      </w:r>
    </w:p>
    <w:p w14:paraId="71DD812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9.外国哲学基本理论与基本问题研究</w:t>
      </w:r>
    </w:p>
    <w:p w14:paraId="526DFF1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10.伦理学基础理论与前沿问题研究</w:t>
      </w:r>
    </w:p>
    <w:p w14:paraId="1DB88A7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11.中国哲学基础问题与当代价值研究</w:t>
      </w:r>
    </w:p>
    <w:p w14:paraId="6F0B355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12.中国哲学史人物、经典、流派研究</w:t>
      </w:r>
    </w:p>
    <w:p w14:paraId="29DFC49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13.外国哲学史人物、经典、流派研究</w:t>
      </w:r>
    </w:p>
    <w:p w14:paraId="0C0D96E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14.中华传统美德传承与发展研究</w:t>
      </w:r>
    </w:p>
    <w:p w14:paraId="107C9C5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15.中华美学精神与美学理论研究</w:t>
      </w:r>
    </w:p>
    <w:p w14:paraId="061D766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16.人工智能与科技伦理研究</w:t>
      </w:r>
    </w:p>
    <w:p w14:paraId="7BA5797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17.社会发展与社会风险的哲学研究</w:t>
      </w:r>
    </w:p>
    <w:p w14:paraId="6600FC6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18.逻辑学基础理论与前沿问题研究</w:t>
      </w:r>
    </w:p>
    <w:p w14:paraId="19996BF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19.当代科技前沿重大问题哲学研究</w:t>
      </w:r>
    </w:p>
    <w:p w14:paraId="554B655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20.交叉学科与科技发展的哲学问题研究</w:t>
      </w:r>
    </w:p>
    <w:p w14:paraId="02396DD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21.重庆民族地区民间信仰促进各民族交往交流交融研究</w:t>
      </w:r>
    </w:p>
    <w:p w14:paraId="52F9BEA2">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5A251F5F">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政治学</w:t>
      </w:r>
    </w:p>
    <w:p w14:paraId="0527E34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1.推进新时代党的自我革命研究</w:t>
      </w:r>
    </w:p>
    <w:p w14:paraId="4AC68A4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2.健全全面从严治党体系研究</w:t>
      </w:r>
    </w:p>
    <w:p w14:paraId="32F2D0B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3.中国共产党加强社会整合的历程与经验研究</w:t>
      </w:r>
    </w:p>
    <w:p w14:paraId="2190D10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4.中国古代政治思想及其当代价值研究</w:t>
      </w:r>
    </w:p>
    <w:p w14:paraId="52A6BB2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5.新时代政府治理理论创新研究</w:t>
      </w:r>
    </w:p>
    <w:p w14:paraId="31322F8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6.新时代政府文化职能研究</w:t>
      </w:r>
    </w:p>
    <w:p w14:paraId="6D393A5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7.政府与市场协同推动新质生产力发展研究</w:t>
      </w:r>
    </w:p>
    <w:p w14:paraId="1A3BE4A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8.党的领导与功能型组织建设研究</w:t>
      </w:r>
    </w:p>
    <w:p w14:paraId="3FAFCB9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9.党建引领基层治理和基层政权建设研究</w:t>
      </w:r>
    </w:p>
    <w:p w14:paraId="09A112B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10.超大城市治理研究</w:t>
      </w:r>
    </w:p>
    <w:p w14:paraId="0E99DEB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11.新时代统一战线工作的新特点与新思路研究</w:t>
      </w:r>
    </w:p>
    <w:p w14:paraId="196DBB1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12.网络意识形态风险及对策研究</w:t>
      </w:r>
    </w:p>
    <w:p w14:paraId="467EC89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13.提升新时代地方人大监督工作质效研究</w:t>
      </w:r>
    </w:p>
    <w:p w14:paraId="12D9D6C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14.提升基层党组织能力的路径研究</w:t>
      </w:r>
    </w:p>
    <w:p w14:paraId="4F9996B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15.推动新时代人民建议征集工作高质量发展研究</w:t>
      </w:r>
    </w:p>
    <w:p w14:paraId="2BA5675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16.推进新时代党员干部廉洁文化建设路径研究</w:t>
      </w:r>
    </w:p>
    <w:p w14:paraId="4493638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w:t>
      </w:r>
      <w:r>
        <w:rPr>
          <w:rFonts w:hint="eastAsia" w:ascii="Times New Roman" w:hAnsi="Times New Roman" w:eastAsia="方正仿宋_GBK" w:cs="Times New Roman"/>
          <w:bCs/>
          <w:color w:val="000000" w:themeColor="text1"/>
          <w:spacing w:val="-12"/>
          <w:kern w:val="0"/>
          <w:sz w:val="32"/>
          <w:szCs w:val="32"/>
          <w14:textFill>
            <w14:solidFill>
              <w14:schemeClr w14:val="tx1"/>
            </w14:solidFill>
          </w14:textFill>
        </w:rPr>
        <w:t>构建基层“应减之负”与“应尽之责”协同联动的机制与政策研究</w:t>
      </w:r>
    </w:p>
    <w:p w14:paraId="3AFCBEB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18.减轻基层负担的长效机制研究</w:t>
      </w:r>
    </w:p>
    <w:p w14:paraId="7E2A738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19.坚持和发展新时代“枫桥经验”研究</w:t>
      </w:r>
    </w:p>
    <w:p w14:paraId="7A85FCC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20.全过程人民民主实践的重庆经验研究</w:t>
      </w:r>
    </w:p>
    <w:p w14:paraId="495740D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21.构建新型政商关系的重庆经验研究</w:t>
      </w:r>
    </w:p>
    <w:p w14:paraId="6B2E740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22.提升重庆市人大、政协工作效能研究</w:t>
      </w:r>
    </w:p>
    <w:p w14:paraId="2C003FD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23.接诉即办的效能评估及完善路径研究</w:t>
      </w:r>
    </w:p>
    <w:p w14:paraId="069FAFE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24.重庆社会治理共同体发展研究</w:t>
      </w:r>
    </w:p>
    <w:p w14:paraId="472480C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25.重庆市安全风险监测防控体系研究</w:t>
      </w:r>
    </w:p>
    <w:p w14:paraId="767DF85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26.新时代重庆市高质量发展人才战略研究</w:t>
      </w:r>
    </w:p>
    <w:p w14:paraId="1C6C595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27.强化重庆市青少年铸牢中华民族共同体意识研究</w:t>
      </w:r>
    </w:p>
    <w:p w14:paraId="7C772F3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28.重庆市大中小学生安全认知研究</w:t>
      </w:r>
    </w:p>
    <w:p w14:paraId="21DAAAA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29.健全重庆市基层民主制度研究</w:t>
      </w:r>
    </w:p>
    <w:p w14:paraId="68407E2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30.重庆完善重大决策社会稳定和安全风险评估工作机制研究</w:t>
      </w:r>
    </w:p>
    <w:p w14:paraId="153791E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31.重庆完善社会矛盾纠纷多元预防调处化解综合机制研究</w:t>
      </w:r>
    </w:p>
    <w:p w14:paraId="6CF5091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32.加强新时代重庆党员干部能力建设研究</w:t>
      </w:r>
    </w:p>
    <w:p w14:paraId="622EEDB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33.加强基层基础工作的重庆实践和机制创新研究</w:t>
      </w:r>
    </w:p>
    <w:p w14:paraId="634532E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34.重庆基层党建引领基层社会治理实践路径研究</w:t>
      </w:r>
    </w:p>
    <w:p w14:paraId="49C08EF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35.一体推进不敢腐、不能腐、不想腐的重庆实践研究</w:t>
      </w:r>
    </w:p>
    <w:p w14:paraId="211F925E">
      <w:pPr>
        <w:spacing w:line="600" w:lineRule="exact"/>
        <w:ind w:firstLine="64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br w:type="page"/>
      </w:r>
    </w:p>
    <w:p w14:paraId="51AF336F">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国际问题研究</w:t>
      </w:r>
    </w:p>
    <w:p w14:paraId="4DB584A2">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1.人工智能国际治理趋势及对策研究</w:t>
      </w:r>
    </w:p>
    <w:p w14:paraId="76769B2B">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2.数字技术对国家安全的影响研究</w:t>
      </w:r>
    </w:p>
    <w:p w14:paraId="4E83D9DB">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3.世界主要国家政党政治发展的新特点与新走向研究</w:t>
      </w:r>
    </w:p>
    <w:p w14:paraId="738EFF30">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4.全球文明倡议的思想内涵与现实意义研究</w:t>
      </w:r>
    </w:p>
    <w:p w14:paraId="12C00963">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5.“全球南方”与世界多极化研究</w:t>
      </w:r>
    </w:p>
    <w:p w14:paraId="7D58701C">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6.亚太地区安全格局演进与中国对策研究</w:t>
      </w:r>
    </w:p>
    <w:p w14:paraId="3ABBA754">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7.世界主要大国对华政策变化趋势及中国应对研究</w:t>
      </w:r>
    </w:p>
    <w:p w14:paraId="14703D5A">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8.美欧数字贸易规则对重庆外贸高质量发展的影响及应对研究</w:t>
      </w:r>
    </w:p>
    <w:p w14:paraId="413A8565">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9.重庆深度融入共建“一带一路”研究</w:t>
      </w:r>
    </w:p>
    <w:p w14:paraId="74DADD5A">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10.打造更具全球影响力和世界美誉度的重庆城市IP研究</w:t>
      </w:r>
    </w:p>
    <w:p w14:paraId="478F7EEE">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11.推进主流媒体系统性变革的科学内涵与重庆创新实践研究</w:t>
      </w:r>
    </w:p>
    <w:p w14:paraId="7CC0ED58">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12.重庆文化出海的战略规划与实施路径研究</w:t>
      </w:r>
    </w:p>
    <w:p w14:paraId="3F47B517">
      <w:pPr>
        <w:pStyle w:val="2"/>
        <w:spacing w:before="0" w:after="0" w:line="600" w:lineRule="exact"/>
        <w:ind w:firstLine="0" w:firstLineChars="0"/>
        <w:jc w:val="center"/>
        <w:rPr>
          <w:rFonts w:ascii="Times New Roman" w:hAnsi="Times New Roman" w:eastAsia="方正仿宋_GBK" w:cs="Times New Roman"/>
          <w:b w:val="0"/>
          <w:color w:val="000000" w:themeColor="text1"/>
          <w:kern w:val="0"/>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14ADA75B">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语言学</w:t>
      </w:r>
    </w:p>
    <w:p w14:paraId="0E8E6410">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1.面向人工智能的语言研究及知识库建设</w:t>
      </w:r>
    </w:p>
    <w:p w14:paraId="1DE0495F">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2.交叉学科视野下语用研究</w:t>
      </w:r>
    </w:p>
    <w:p w14:paraId="4BC81B07">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3.人工智能时代的国际中文教育研究</w:t>
      </w:r>
    </w:p>
    <w:p w14:paraId="28834986">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4.国际汉学中的汉字理论比较研究</w:t>
      </w:r>
    </w:p>
    <w:p w14:paraId="003A670F">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5.语境理论视角下的历代经典注释研究</w:t>
      </w:r>
    </w:p>
    <w:p w14:paraId="30751516">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6.面向语料库建设的上古汉语句法深度研究</w:t>
      </w:r>
    </w:p>
    <w:p w14:paraId="3EEAD4E2">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7.文言文自动翻译智能化关键技术研究</w:t>
      </w:r>
    </w:p>
    <w:p w14:paraId="2D048A04">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8.外语教育与外语教育学研究</w:t>
      </w:r>
    </w:p>
    <w:p w14:paraId="0BA2B4DD">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9.外语非通用语教育教学研究</w:t>
      </w:r>
    </w:p>
    <w:p w14:paraId="58F907D7">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10.基于大数据的应用翻译研究</w:t>
      </w:r>
    </w:p>
    <w:p w14:paraId="76D17248">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11.跨文化传播视域下中国典籍外译研究 </w:t>
      </w:r>
    </w:p>
    <w:p w14:paraId="258DA8F4">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12.人工智能时代的翻译与翻译教学研究 </w:t>
      </w:r>
    </w:p>
    <w:p w14:paraId="7189AA48">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13.重庆文学作品海外跨媒介传播研究</w:t>
      </w:r>
    </w:p>
    <w:p w14:paraId="470D2B6A">
      <w:pPr>
        <w:widowControl w:val="0"/>
        <w:spacing w:line="600" w:lineRule="exact"/>
        <w:ind w:firstLine="0" w:firstLineChars="0"/>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14.重庆儿童语言能力发展状况研究</w:t>
      </w:r>
    </w:p>
    <w:p w14:paraId="7019E1C8">
      <w:pPr>
        <w:widowControl w:val="0"/>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p>
    <w:p w14:paraId="260D2589">
      <w:pPr>
        <w:pStyle w:val="2"/>
        <w:spacing w:before="0" w:after="0" w:line="600" w:lineRule="exact"/>
        <w:ind w:firstLine="0" w:firstLineChars="0"/>
        <w:jc w:val="center"/>
        <w:rPr>
          <w:rFonts w:ascii="黑体" w:hAnsi="黑体" w:eastAsia="黑体" w:cs="宋体"/>
          <w:color w:val="000000" w:themeColor="text1"/>
          <w:kern w:val="0"/>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5EEB4E75">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中国文学</w:t>
      </w:r>
    </w:p>
    <w:p w14:paraId="5736E5B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1.习近平文化思想与中国文学阐释研究</w:t>
      </w:r>
    </w:p>
    <w:p w14:paraId="5BCE84B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2.“第二个结合”与中国古代文学的当代价值研究</w:t>
      </w:r>
    </w:p>
    <w:p w14:paraId="323B909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3.中华民族现代文明建设与古代文学理论批评的创新阐释研究</w:t>
      </w:r>
    </w:p>
    <w:p w14:paraId="0B2279F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4.文学批评理论的知识体系构建与实践研究</w:t>
      </w:r>
    </w:p>
    <w:p w14:paraId="139DD83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5.中国古代文体之间交互渗透、影响与演变研究</w:t>
      </w:r>
    </w:p>
    <w:p w14:paraId="16E9449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6.中国现当代重要作家、作品与文学流派研究</w:t>
      </w:r>
    </w:p>
    <w:p w14:paraId="70D3CC7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7.当代文学中重庆元素研究</w:t>
      </w:r>
    </w:p>
    <w:p w14:paraId="1106769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8.唐宋文学史与思想史会通研究</w:t>
      </w:r>
    </w:p>
    <w:p w14:paraId="186F873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9.元曲重要作家作品研究</w:t>
      </w:r>
    </w:p>
    <w:p w14:paraId="1D71D01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10.明清文学思潮与社会政治关系研究</w:t>
      </w:r>
    </w:p>
    <w:p w14:paraId="2194FF1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11.礼乐文化制度与中国早期文学生成发展研究</w:t>
      </w:r>
    </w:p>
    <w:p w14:paraId="40C6BD1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12.民间文学文献资料整理研究与数据库建设</w:t>
      </w:r>
    </w:p>
    <w:p w14:paraId="0E9E521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13.汉魏六朝文学文献研究</w:t>
      </w:r>
    </w:p>
    <w:p w14:paraId="6C8EC3A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14.重庆民间文艺发展史</w:t>
      </w:r>
    </w:p>
    <w:p w14:paraId="34A84469">
      <w:pPr>
        <w:widowControl w:val="0"/>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p>
    <w:p w14:paraId="6705B2D7">
      <w:pPr>
        <w:widowControl w:val="0"/>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pPr>
    </w:p>
    <w:p w14:paraId="45D3B5B6">
      <w:pPr>
        <w:pStyle w:val="2"/>
        <w:spacing w:before="0" w:after="0" w:line="600" w:lineRule="exact"/>
        <w:ind w:firstLine="0" w:firstLineChars="0"/>
        <w:jc w:val="center"/>
        <w:rPr>
          <w:rFonts w:ascii="黑体" w:hAnsi="黑体" w:eastAsia="黑体" w:cs="宋体"/>
          <w:color w:val="000000" w:themeColor="text1"/>
          <w:kern w:val="0"/>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61B57B2C">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外国文学</w:t>
      </w:r>
    </w:p>
    <w:p w14:paraId="384170EE">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1.世界文学与不同文明形态的交融与冲突</w:t>
      </w:r>
    </w:p>
    <w:p w14:paraId="581F575A">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2.外国文学中现代性问题的重新审视与研究</w:t>
      </w:r>
    </w:p>
    <w:p w14:paraId="1BAD3178">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3.外国文学中的博物馆书写研究</w:t>
      </w:r>
    </w:p>
    <w:p w14:paraId="55C50B14">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4.中外比较文学重要理论家研究</w:t>
      </w:r>
    </w:p>
    <w:p w14:paraId="37709575">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5.中外科幻文学与当下问题研究</w:t>
      </w:r>
    </w:p>
    <w:p w14:paraId="3930F231">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6.中外文学中的城乡书写研究</w:t>
      </w:r>
    </w:p>
    <w:p w14:paraId="75ED2C7A">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7.数字人文视野下的中外文学研究范式转型</w:t>
      </w:r>
    </w:p>
    <w:p w14:paraId="6340E80C">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8.外国现当代重要作家、作品与文学现象研究</w:t>
      </w:r>
    </w:p>
    <w:p w14:paraId="18216C7C">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9.中外文论的对话与互构研究</w:t>
      </w:r>
    </w:p>
    <w:p w14:paraId="7A531C3E">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10.比较文学“中国学派”研究</w:t>
      </w:r>
    </w:p>
    <w:p w14:paraId="5E452756">
      <w:pPr>
        <w:widowControl w:val="0"/>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11.巴蜀文学海外传播、译介与接受研究</w:t>
      </w:r>
    </w:p>
    <w:p w14:paraId="6CA88EAB">
      <w:pPr>
        <w:widowControl w:val="0"/>
        <w:spacing w:line="600" w:lineRule="exact"/>
        <w:ind w:firstLine="198" w:firstLineChars="62"/>
        <w:rPr>
          <w:rFonts w:ascii="仿宋_GB2312" w:eastAsia="仿宋_GB2312"/>
          <w:sz w:val="32"/>
          <w:szCs w:val="32"/>
        </w:rPr>
      </w:pPr>
      <w:r>
        <w:rPr>
          <w:rFonts w:ascii="仿宋_GB2312" w:eastAsia="仿宋_GB2312"/>
          <w:sz w:val="32"/>
          <w:szCs w:val="32"/>
        </w:rPr>
        <w:br w:type="page"/>
      </w:r>
    </w:p>
    <w:p w14:paraId="61739F39">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艺术学</w:t>
      </w:r>
    </w:p>
    <w:p w14:paraId="6B98D9F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1.重庆文化艺术产业提振研究</w:t>
      </w:r>
    </w:p>
    <w:p w14:paraId="1D33CFC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2.重庆区域形象建构与国际传播研究</w:t>
      </w:r>
    </w:p>
    <w:p w14:paraId="4AD24B6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3.重庆传统手工艺传承与创新研究</w:t>
      </w:r>
    </w:p>
    <w:p w14:paraId="410BB93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4.重庆影视产业链短板及工业化发展路径研究</w:t>
      </w:r>
    </w:p>
    <w:p w14:paraId="41B0925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5.巴蜀戏曲类非物质文化遗产保护传承研究</w:t>
      </w:r>
    </w:p>
    <w:p w14:paraId="748CFEF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6.重庆音乐专题研究</w:t>
      </w:r>
    </w:p>
    <w:p w14:paraId="106F8ED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7.重庆美术专题研究</w:t>
      </w:r>
    </w:p>
    <w:p w14:paraId="6F87BE2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8.重庆雕塑专题研究</w:t>
      </w:r>
    </w:p>
    <w:p w14:paraId="1633A7F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9.重庆书法专题研究</w:t>
      </w:r>
    </w:p>
    <w:p w14:paraId="4BCA196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10.重庆建筑专题研究</w:t>
      </w:r>
      <w:r>
        <w:rPr>
          <w:rFonts w:ascii="Times New Roman" w:hAnsi="Times New Roman" w:eastAsia="方正仿宋_GBK" w:cs="Times New Roman"/>
          <w:bCs/>
          <w:color w:val="000000" w:themeColor="text1"/>
          <w:kern w:val="0"/>
          <w:sz w:val="32"/>
          <w:szCs w:val="32"/>
          <w14:textFill>
            <w14:solidFill>
              <w14:schemeClr w14:val="tx1"/>
            </w14:solidFill>
          </w14:textFill>
        </w:rPr>
        <w:br w:type="page"/>
      </w:r>
    </w:p>
    <w:p w14:paraId="025931D4">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bookmarkStart w:id="0" w:name="_Toc60086866"/>
      <w:r>
        <w:rPr>
          <w:rFonts w:hint="eastAsia" w:ascii="方正黑体_GBK" w:hAnsi="黑体" w:eastAsia="方正黑体_GBK" w:cs="宋体"/>
          <w:bCs/>
          <w:color w:val="000000" w:themeColor="text1"/>
          <w:kern w:val="0"/>
          <w:sz w:val="32"/>
          <w:szCs w:val="32"/>
          <w14:textFill>
            <w14:solidFill>
              <w14:schemeClr w14:val="tx1"/>
            </w14:solidFill>
          </w14:textFill>
        </w:rPr>
        <w:t>历史</w:t>
      </w:r>
      <w:bookmarkEnd w:id="0"/>
      <w:r>
        <w:rPr>
          <w:rFonts w:hint="eastAsia" w:ascii="方正黑体_GBK" w:hAnsi="黑体" w:eastAsia="方正黑体_GBK" w:cs="宋体"/>
          <w:bCs/>
          <w:color w:val="000000" w:themeColor="text1"/>
          <w:kern w:val="0"/>
          <w:sz w:val="32"/>
          <w:szCs w:val="32"/>
          <w14:textFill>
            <w14:solidFill>
              <w14:schemeClr w14:val="tx1"/>
            </w14:solidFill>
          </w14:textFill>
        </w:rPr>
        <w:t>学</w:t>
      </w:r>
    </w:p>
    <w:p w14:paraId="653C7F1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1.重庆历史文化影响力提升策略研究</w:t>
      </w:r>
    </w:p>
    <w:p w14:paraId="6820290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2.新中国重庆工业化发展研究</w:t>
      </w:r>
    </w:p>
    <w:p w14:paraId="27343B5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3.近代重庆现代化转型研究</w:t>
      </w:r>
    </w:p>
    <w:p w14:paraId="761DE08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4.重庆作为国家战略腹地的历史贡献研究</w:t>
      </w:r>
    </w:p>
    <w:p w14:paraId="2D1A5B2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5.区域制度史研究</w:t>
      </w:r>
    </w:p>
    <w:p w14:paraId="2F108DE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6.古代重庆基层社会治理研究</w:t>
      </w:r>
    </w:p>
    <w:p w14:paraId="18E6A7F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7.重庆地方志资源开发利用研究</w:t>
      </w:r>
    </w:p>
    <w:p w14:paraId="59D3962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8.重庆历代灾害资料整理与研究</w:t>
      </w:r>
    </w:p>
    <w:p w14:paraId="5AA0C35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9.重庆红色文化资源数字化建设研究</w:t>
      </w:r>
    </w:p>
    <w:p w14:paraId="52FDB87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10.重庆文物和文化遗产保护传承历史及经验研究</w:t>
      </w:r>
    </w:p>
    <w:p w14:paraId="00DA51E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11.重庆出土碑志整理与研究</w:t>
      </w:r>
    </w:p>
    <w:p w14:paraId="0D3B0A9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13.重庆石刻文物资源的创造性转化和创新性发展研究</w:t>
      </w:r>
    </w:p>
    <w:p w14:paraId="0CB1742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1EE45F81">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bookmarkStart w:id="1" w:name="_Toc60086868"/>
      <w:r>
        <w:rPr>
          <w:rFonts w:hint="eastAsia" w:ascii="方正黑体_GBK" w:hAnsi="黑体" w:eastAsia="方正黑体_GBK" w:cs="宋体"/>
          <w:bCs/>
          <w:color w:val="000000" w:themeColor="text1"/>
          <w:kern w:val="0"/>
          <w:sz w:val="32"/>
          <w:szCs w:val="32"/>
          <w14:textFill>
            <w14:solidFill>
              <w14:schemeClr w14:val="tx1"/>
            </w14:solidFill>
          </w14:textFill>
        </w:rPr>
        <w:t>考古学</w:t>
      </w:r>
      <w:bookmarkEnd w:id="1"/>
    </w:p>
    <w:p w14:paraId="1811277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1.农业起源与传播的考古学研究</w:t>
      </w:r>
    </w:p>
    <w:p w14:paraId="41A1197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2.游牧经济起源的考古学研究</w:t>
      </w:r>
    </w:p>
    <w:p w14:paraId="5D9C7C5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3.重庆地区环境变化与区域文明兴衰的考古学研究</w:t>
      </w:r>
    </w:p>
    <w:p w14:paraId="539B885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4.重庆城坝遗址考古发掘资料整理与研究</w:t>
      </w:r>
    </w:p>
    <w:p w14:paraId="01AAFEA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5.重庆地区古代聚落、城市布局演变的考古学研究</w:t>
      </w:r>
    </w:p>
    <w:p w14:paraId="3A3770C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6.重庆地区古代战争的考古学研究</w:t>
      </w:r>
    </w:p>
    <w:p w14:paraId="7EE8D92E">
      <w:pPr>
        <w:spacing w:line="600" w:lineRule="exact"/>
        <w:ind w:firstLine="640"/>
        <w:rPr>
          <w:rFonts w:ascii="仿宋_GB2312" w:eastAsia="仿宋_GB2312"/>
          <w:sz w:val="32"/>
          <w:szCs w:val="32"/>
        </w:rPr>
      </w:pPr>
      <w:r>
        <w:rPr>
          <w:rFonts w:hint="eastAsia" w:ascii="仿宋_GB2312" w:eastAsia="仿宋_GB2312"/>
          <w:sz w:val="32"/>
          <w:szCs w:val="32"/>
        </w:rPr>
        <w:br w:type="page"/>
      </w:r>
    </w:p>
    <w:p w14:paraId="64FA8AF4">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经济学</w:t>
      </w:r>
    </w:p>
    <w:p w14:paraId="7288616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1.以新质生产力赋能中国式现代化研究</w:t>
      </w:r>
    </w:p>
    <w:p w14:paraId="5FF67A5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2.加快全国统一大市场建设研究</w:t>
      </w:r>
    </w:p>
    <w:p w14:paraId="3B70EBF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3.加快西部地区产业转型升级研究</w:t>
      </w:r>
    </w:p>
    <w:p w14:paraId="5C4AFE5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4.西部地区筑牢国家生态安全屏障研究</w:t>
      </w:r>
    </w:p>
    <w:p w14:paraId="58E60E8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5.西部地区粮食生产与安全保障研究</w:t>
      </w:r>
    </w:p>
    <w:p w14:paraId="31E6FD7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6.成渝地区双城经济圈协同发展的体制机制研究</w:t>
      </w:r>
    </w:p>
    <w:p w14:paraId="7CFB6AF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7.成渝地区双城经济圈跨区域公共服务基础设施建设研究</w:t>
      </w:r>
    </w:p>
    <w:p w14:paraId="6C391B1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8.成渝共建西部金融中心研究</w:t>
      </w:r>
    </w:p>
    <w:p w14:paraId="368466C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9.成渝地区协同构建创新链、产业链、资金链、人才链研究</w:t>
      </w:r>
    </w:p>
    <w:p w14:paraId="704733C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10.重要产业备份基地建设研究</w:t>
      </w:r>
    </w:p>
    <w:p w14:paraId="4C4741D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11.重庆打造内陆开放综合枢纽研究</w:t>
      </w:r>
    </w:p>
    <w:p w14:paraId="40930EB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12.重庆新质生产力产业链布局研究</w:t>
      </w:r>
    </w:p>
    <w:p w14:paraId="6966531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13.重庆推进“33618”现代制造业集群体系研究</w:t>
      </w:r>
    </w:p>
    <w:p w14:paraId="4B56B2D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14.重庆发展生态特色农业研究</w:t>
      </w:r>
    </w:p>
    <w:p w14:paraId="69BB9DD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15.重庆科技创新的重点与短板研究</w:t>
      </w:r>
    </w:p>
    <w:p w14:paraId="79F9AF3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16.重庆深化要素市场化改革研究</w:t>
      </w:r>
    </w:p>
    <w:p w14:paraId="706D3E3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17.重庆民营经济竞争力提升研究</w:t>
      </w:r>
    </w:p>
    <w:p w14:paraId="4A8594F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18.重庆工业遗产历史与文化价值开发研究</w:t>
      </w:r>
    </w:p>
    <w:p w14:paraId="161BD18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19.重庆培育壮大战略性新兴产业和未来产业研究</w:t>
      </w:r>
    </w:p>
    <w:p w14:paraId="0057951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20.重庆国有经济布局优化与结构调整研究</w:t>
      </w:r>
    </w:p>
    <w:p w14:paraId="69A714D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21.重庆能源业转型升级与可持续发展研究</w:t>
      </w:r>
    </w:p>
    <w:p w14:paraId="3EF6994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22.提升重庆数字经济核心竞争力路径研究</w:t>
      </w:r>
    </w:p>
    <w:p w14:paraId="1E8AD13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23.重庆县域城乡融合高质量发展路径研究</w:t>
      </w:r>
    </w:p>
    <w:p w14:paraId="3861E9A4">
      <w:pPr>
        <w:spacing w:line="600" w:lineRule="exact"/>
        <w:ind w:firstLine="64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br w:type="page"/>
      </w:r>
    </w:p>
    <w:p w14:paraId="49C27849">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bookmarkStart w:id="2" w:name="_Toc60086859"/>
      <w:r>
        <w:rPr>
          <w:rFonts w:hint="eastAsia" w:ascii="方正黑体_GBK" w:hAnsi="黑体" w:eastAsia="方正黑体_GBK" w:cs="宋体"/>
          <w:bCs/>
          <w:color w:val="000000" w:themeColor="text1"/>
          <w:kern w:val="0"/>
          <w:sz w:val="32"/>
          <w:szCs w:val="32"/>
          <w14:textFill>
            <w14:solidFill>
              <w14:schemeClr w14:val="tx1"/>
            </w14:solidFill>
          </w14:textFill>
        </w:rPr>
        <w:t>统计学</w:t>
      </w:r>
      <w:bookmarkEnd w:id="2"/>
    </w:p>
    <w:p w14:paraId="170AA49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1.重庆新质生产力统计监测研究</w:t>
      </w:r>
    </w:p>
    <w:p w14:paraId="43A2788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2.重庆各区（县）新质生产力发展水平统计测度研究</w:t>
      </w:r>
    </w:p>
    <w:p w14:paraId="4443811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3.重庆城乡融合统计监测研究</w:t>
      </w:r>
    </w:p>
    <w:p w14:paraId="4501807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4.重庆教育强市建设的统计测度与监测研究</w:t>
      </w:r>
    </w:p>
    <w:p w14:paraId="26E900C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5.重庆基本公共服务可及性评价研究</w:t>
      </w:r>
    </w:p>
    <w:p w14:paraId="5DCE69B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6.资本要素收入统计核算与调节路径研究</w:t>
      </w:r>
    </w:p>
    <w:p w14:paraId="53F99EF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7.全要素生产率测度研究</w:t>
      </w:r>
    </w:p>
    <w:p w14:paraId="309A509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8.产业链数字化监管机制研究</w:t>
      </w:r>
    </w:p>
    <w:p w14:paraId="19888AD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9.双碳目标下政府治理绩效的统计测度与评价研究</w:t>
      </w:r>
    </w:p>
    <w:p w14:paraId="63FC11D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10.企业数字化转型中的统计方法及应用研究</w:t>
      </w:r>
    </w:p>
    <w:p w14:paraId="4B3F16C6">
      <w:pPr>
        <w:spacing w:line="600" w:lineRule="exact"/>
        <w:ind w:left="502" w:hanging="502" w:hangingChars="157"/>
        <w:rPr>
          <w:rFonts w:ascii="仿宋_GB2312" w:eastAsia="仿宋_GB2312"/>
          <w:sz w:val="32"/>
          <w:szCs w:val="32"/>
        </w:rPr>
      </w:pPr>
    </w:p>
    <w:p w14:paraId="0BE7B798">
      <w:pPr>
        <w:widowControl w:val="0"/>
        <w:spacing w:line="600" w:lineRule="exact"/>
        <w:ind w:firstLine="0" w:firstLineChars="0"/>
        <w:rPr>
          <w:rFonts w:ascii="黑体" w:hAnsi="黑体" w:eastAsia="黑体" w:cs="宋体"/>
          <w:color w:val="000000" w:themeColor="text1"/>
          <w:kern w:val="0"/>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4958EBAE">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管理学</w:t>
      </w:r>
    </w:p>
    <w:p w14:paraId="303B49E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1.环境政策减污降碳协同治理效应测度及提升路径研究</w:t>
      </w:r>
    </w:p>
    <w:p w14:paraId="15F3E7D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2.激活民营企业内生动力和创新活力研究</w:t>
      </w:r>
    </w:p>
    <w:p w14:paraId="4B99EC6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3.国家创新体系整体效能的统计测度研究</w:t>
      </w:r>
    </w:p>
    <w:p w14:paraId="12012B2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4.重庆加快形成新质生产力的主攻方向与政策保障研究</w:t>
      </w:r>
    </w:p>
    <w:p w14:paraId="79DA2CB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5.优化重庆民营经济发展环境研究</w:t>
      </w:r>
    </w:p>
    <w:p w14:paraId="5DBBFA2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6.重庆打造具有国际竞争力的数字产业集群研究</w:t>
      </w:r>
    </w:p>
    <w:p w14:paraId="4F907FC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7.重庆绿色供应链价值共创机制研究</w:t>
      </w:r>
    </w:p>
    <w:p w14:paraId="6B1C5F4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8.数字经济背景下重庆国有企业战略管理创新研究</w:t>
      </w:r>
    </w:p>
    <w:p w14:paraId="36B141D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9.数智赋能重庆专精特新企业高质量发展研究</w:t>
      </w:r>
    </w:p>
    <w:p w14:paraId="2838F15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10.“双碳”目标下重庆能源消费与绿色发展的耦合协调研究</w:t>
      </w:r>
    </w:p>
    <w:p w14:paraId="4620EB3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11.重庆农产品全产业链监测预警机制研究</w:t>
      </w:r>
    </w:p>
    <w:p w14:paraId="3C598E8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12.重庆不同所有制企业创新优势比较与融合研究</w:t>
      </w:r>
    </w:p>
    <w:p w14:paraId="36BE9F8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13.重庆数智创新生态系统治理模式研究</w:t>
      </w:r>
    </w:p>
    <w:p w14:paraId="525BA93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14.重庆建设宜居宜业和美乡村的内涵意义与发展路径研究</w:t>
      </w:r>
    </w:p>
    <w:p w14:paraId="58822B4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15.重庆促进城市间基础设施联通、公共服务共享研究</w:t>
      </w:r>
    </w:p>
    <w:p w14:paraId="6C35C73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16.机器人的广泛使用与企业管理模式变革研究</w:t>
      </w:r>
    </w:p>
    <w:p w14:paraId="779847C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17.深化东中西部科技创新合作研究</w:t>
      </w:r>
    </w:p>
    <w:p w14:paraId="4643230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18.进一步提高重庆对内对外开放水平研究</w:t>
      </w:r>
    </w:p>
    <w:p w14:paraId="6C7B0BE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19.重庆打造新时代西部大开发重要战略支点研究</w:t>
      </w:r>
    </w:p>
    <w:p w14:paraId="7C53811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20.重庆加快推进绿色低碳科创高地建设研究</w:t>
      </w:r>
    </w:p>
    <w:p w14:paraId="6BCD386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21.重庆新能源汽车产业链聚集地和智能汽车产业创新高地建设研究</w:t>
      </w:r>
    </w:p>
    <w:p w14:paraId="5B79B0C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22.重庆企业参与标准制定对突破性创新的影响机制研究</w:t>
      </w:r>
    </w:p>
    <w:p w14:paraId="5BD75F1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23.重庆基层政府治理数字化与智能化协同研究</w:t>
      </w:r>
    </w:p>
    <w:p w14:paraId="1998D59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24.重庆非公经济健康发展机制保障与创新路径研究</w:t>
      </w:r>
    </w:p>
    <w:p w14:paraId="2F9AC77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25.重庆人工智能应用对企业劳动力需求的影响机制研究</w:t>
      </w:r>
    </w:p>
    <w:p w14:paraId="5AE06E6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26.重庆民营企业产权和企业家权益保护机制研究</w:t>
      </w:r>
    </w:p>
    <w:p w14:paraId="26D1132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27.重庆推动超大城市数字治理研究</w:t>
      </w:r>
    </w:p>
    <w:p w14:paraId="26248AD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28.重庆农资保供稳价应对机制完善研究</w:t>
      </w:r>
    </w:p>
    <w:p w14:paraId="438DBD9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29.重庆城镇综合承载能力提升研究</w:t>
      </w:r>
    </w:p>
    <w:p w14:paraId="163F680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30.建设重庆市旅游消费评测体系研究</w:t>
      </w:r>
    </w:p>
    <w:p w14:paraId="00AA8AB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31.重庆生态环境治理体系和治理能力现代化研究</w:t>
      </w:r>
    </w:p>
    <w:p w14:paraId="41EF043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32.重庆应急体制机制完善研究</w:t>
      </w:r>
    </w:p>
    <w:p w14:paraId="4E106026">
      <w:pPr>
        <w:spacing w:line="600" w:lineRule="exact"/>
        <w:ind w:left="502" w:hanging="502" w:hangingChars="15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br w:type="page"/>
      </w:r>
    </w:p>
    <w:p w14:paraId="33340803">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bookmarkStart w:id="3" w:name="_Toc60086861"/>
      <w:r>
        <w:rPr>
          <w:rFonts w:hint="eastAsia" w:ascii="方正黑体_GBK" w:hAnsi="黑体" w:eastAsia="方正黑体_GBK" w:cs="宋体"/>
          <w:bCs/>
          <w:color w:val="000000" w:themeColor="text1"/>
          <w:kern w:val="0"/>
          <w:sz w:val="32"/>
          <w:szCs w:val="32"/>
          <w14:textFill>
            <w14:solidFill>
              <w14:schemeClr w14:val="tx1"/>
            </w14:solidFill>
          </w14:textFill>
        </w:rPr>
        <w:t>法学</w:t>
      </w:r>
      <w:bookmarkEnd w:id="3"/>
    </w:p>
    <w:p w14:paraId="16DBC3E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1.新时代中国宪法理论体系研究</w:t>
      </w:r>
    </w:p>
    <w:p w14:paraId="5A9E3BE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2.“面向2035”法治中国发展战略和推进路径研究</w:t>
      </w:r>
    </w:p>
    <w:p w14:paraId="014B05D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3.民法典与国家治理体系现代化研究</w:t>
      </w:r>
    </w:p>
    <w:p w14:paraId="554E819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4.推动新质生产力发展的法律保障研究</w:t>
      </w:r>
    </w:p>
    <w:p w14:paraId="63531FE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5.法治赋能超大城市现代化治理研究</w:t>
      </w:r>
    </w:p>
    <w:p w14:paraId="3081685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6.人工智能“深度伪造”对刑事司法的挑战及应对研究</w:t>
      </w:r>
    </w:p>
    <w:p w14:paraId="621FCD2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7.新一代生成式人工智能发展的法治问题研究</w:t>
      </w:r>
    </w:p>
    <w:p w14:paraId="0A37300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8.数字时代知识产权法基本范畴体系创新研究</w:t>
      </w:r>
    </w:p>
    <w:p w14:paraId="3822911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9.中华法系的创造性转化研究</w:t>
      </w:r>
    </w:p>
    <w:p w14:paraId="1568643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10.我国周边海洋安全和涉海维权的法律问题研究</w:t>
      </w:r>
    </w:p>
    <w:p w14:paraId="3379070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11.法治社会的多元纠纷解决新格局研究</w:t>
      </w:r>
    </w:p>
    <w:p w14:paraId="54083B1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12.数字时代的著作权保护规则变革研究</w:t>
      </w:r>
    </w:p>
    <w:p w14:paraId="2353332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13.面向生成式人工智能的法律和政策研究 </w:t>
      </w:r>
    </w:p>
    <w:p w14:paraId="1DE345B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14.数据确权和流转中的登记问题研究</w:t>
      </w:r>
    </w:p>
    <w:p w14:paraId="6CEAF2E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15.新就业形态劳动者权益保障研究</w:t>
      </w:r>
    </w:p>
    <w:p w14:paraId="52BCC8A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16.行政违法的理论架构与认定标准研究</w:t>
      </w:r>
    </w:p>
    <w:p w14:paraId="3E1E9CF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17.应急状态下的行政诉讼制度与理论研究</w:t>
      </w:r>
    </w:p>
    <w:p w14:paraId="6C1DD5A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18.民法典配套法律制度完善研究</w:t>
      </w:r>
    </w:p>
    <w:p w14:paraId="7560DF5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19.开放式创新模式下的知识产权问题研究</w:t>
      </w:r>
    </w:p>
    <w:p w14:paraId="57DAD1A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20.数据确权和流转中的登记问题研究</w:t>
      </w:r>
    </w:p>
    <w:p w14:paraId="527DD57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21.海外利益执法保护制度构建研究</w:t>
      </w:r>
    </w:p>
    <w:p w14:paraId="4267D2E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22.重庆跨境金融交易的税收法律问题研究</w:t>
      </w:r>
    </w:p>
    <w:p w14:paraId="50284B1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23.法治赋能重庆超大城市现代化治理研究</w:t>
      </w:r>
    </w:p>
    <w:p w14:paraId="5B65DB9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24.重庆优化稳定可预期法治化的最佳营商环境研究</w:t>
      </w:r>
    </w:p>
    <w:p w14:paraId="091C14A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25.重庆对接高标准国际经贸规则研究</w:t>
      </w:r>
    </w:p>
    <w:p w14:paraId="635BC46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p>
    <w:p w14:paraId="539BC706">
      <w:pPr>
        <w:spacing w:line="600" w:lineRule="exact"/>
        <w:ind w:firstLine="0" w:firstLineChars="0"/>
        <w:rPr>
          <w:rFonts w:ascii="仿宋_GB2312" w:eastAsia="仿宋_GB2312"/>
          <w:sz w:val="32"/>
          <w:szCs w:val="32"/>
        </w:rPr>
      </w:pPr>
      <w:r>
        <w:rPr>
          <w:rFonts w:ascii="仿宋_GB2312" w:eastAsia="仿宋_GB2312"/>
          <w:sz w:val="32"/>
          <w:szCs w:val="32"/>
        </w:rPr>
        <w:br w:type="page"/>
      </w:r>
    </w:p>
    <w:p w14:paraId="132675FA">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bookmarkStart w:id="4" w:name="_Toc60086862"/>
      <w:r>
        <w:rPr>
          <w:rFonts w:hint="eastAsia" w:ascii="方正黑体_GBK" w:hAnsi="黑体" w:eastAsia="方正黑体_GBK" w:cs="宋体"/>
          <w:bCs/>
          <w:color w:val="000000" w:themeColor="text1"/>
          <w:kern w:val="0"/>
          <w:sz w:val="32"/>
          <w:szCs w:val="32"/>
          <w14:textFill>
            <w14:solidFill>
              <w14:schemeClr w14:val="tx1"/>
            </w14:solidFill>
          </w14:textFill>
        </w:rPr>
        <w:t>社会学</w:t>
      </w:r>
      <w:bookmarkEnd w:id="4"/>
    </w:p>
    <w:p w14:paraId="305B508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1.发展新质生产力的政府职能研究</w:t>
      </w:r>
    </w:p>
    <w:p w14:paraId="3C92A96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2.当代中国社会阶层结构演变研究</w:t>
      </w:r>
    </w:p>
    <w:p w14:paraId="4F6B7EE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3.县域城镇化中的小镇社会研究</w:t>
      </w:r>
    </w:p>
    <w:p w14:paraId="339838A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4.城乡不同背景下的家庭家教家风研究</w:t>
      </w:r>
    </w:p>
    <w:p w14:paraId="52AC1E6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5.基于大数据范式的社会心态指标体系研究</w:t>
      </w:r>
    </w:p>
    <w:p w14:paraId="738290D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6.城市社区治理与社区共同体建设研究</w:t>
      </w:r>
    </w:p>
    <w:p w14:paraId="099574A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7.中国基层治理现代化的制度、成效与经验研究</w:t>
      </w:r>
    </w:p>
    <w:p w14:paraId="4450DFD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8.重庆推进市域社会治理现代化研究</w:t>
      </w:r>
    </w:p>
    <w:p w14:paraId="66F5240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9.</w:t>
      </w:r>
      <w:r>
        <w:rPr>
          <w:rFonts w:hint="eastAsia" w:ascii="Times New Roman" w:hAnsi="Times New Roman" w:eastAsia="方正仿宋_GBK" w:cs="Times New Roman"/>
          <w:bCs/>
          <w:color w:val="000000" w:themeColor="text1"/>
          <w:spacing w:val="-20"/>
          <w:kern w:val="0"/>
          <w:sz w:val="32"/>
          <w:szCs w:val="32"/>
          <w14:textFill>
            <w14:solidFill>
              <w14:schemeClr w14:val="tx1"/>
            </w14:solidFill>
          </w14:textFill>
        </w:rPr>
        <w:t>“十五五”时期重庆人口增长趋势、结构变迁、社会影响及对策研究</w:t>
      </w:r>
    </w:p>
    <w:p w14:paraId="10FC29C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10.重庆人口变化与教育结构优化研究</w:t>
      </w:r>
    </w:p>
    <w:p w14:paraId="7871534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11.重庆建立低收入人口常态化帮扶机制研究</w:t>
      </w:r>
    </w:p>
    <w:p w14:paraId="1EACACA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12.生态环境保护的社会机制研究</w:t>
      </w:r>
    </w:p>
    <w:p w14:paraId="62DB710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13.高</w:t>
      </w:r>
      <w:r>
        <w:rPr>
          <w:rFonts w:hint="eastAsia" w:ascii="Times New Roman" w:hAnsi="Times New Roman" w:eastAsia="方正仿宋_GBK" w:cs="Times New Roman"/>
          <w:bCs/>
          <w:color w:val="000000" w:themeColor="text1"/>
          <w:spacing w:val="-6"/>
          <w:kern w:val="0"/>
          <w:sz w:val="32"/>
          <w:szCs w:val="32"/>
          <w14:textFill>
            <w14:solidFill>
              <w14:schemeClr w14:val="tx1"/>
            </w14:solidFill>
          </w14:textFill>
        </w:rPr>
        <w:t>质量推进成渝地区双城经济圈民生工程建设路径与机制研究</w:t>
      </w:r>
    </w:p>
    <w:p w14:paraId="107CCAD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14.重庆性别观念与生育行为的社会学研究</w:t>
      </w:r>
    </w:p>
    <w:p w14:paraId="1AF37B1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15.重庆创新推进城乡治理一体化研究</w:t>
      </w:r>
    </w:p>
    <w:p w14:paraId="4C03D03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16.重庆建设宜居宜业和美乡村的社会学研究</w:t>
      </w:r>
    </w:p>
    <w:p w14:paraId="5949652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17.重庆小农户生产与农业现代化有机衔接机制研究</w:t>
      </w:r>
    </w:p>
    <w:p w14:paraId="713EE94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18.新形势下重庆加强网络空间治理的方式和路径研究</w:t>
      </w:r>
    </w:p>
    <w:p w14:paraId="2D528FE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19.重庆传统村落的保护和利用研究</w:t>
      </w:r>
    </w:p>
    <w:p w14:paraId="7847B10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20.重庆社会工作与慈善事业融合发展的机制和路径研究</w:t>
      </w:r>
    </w:p>
    <w:p w14:paraId="68F2655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21.重庆吸引高校毕业生等青年留渝来渝就业创业研究 </w:t>
      </w:r>
    </w:p>
    <w:p w14:paraId="636BD07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22.人口老龄化背景下的重庆特色照料体系研究</w:t>
      </w:r>
    </w:p>
    <w:p w14:paraId="5AD6F13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23.重庆社会保障和救助体系高质量发展研究</w:t>
      </w:r>
    </w:p>
    <w:p w14:paraId="1E99173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24.重庆青年择业取向的变化及趋势研究</w:t>
      </w:r>
    </w:p>
    <w:p w14:paraId="10CB257F">
      <w:pPr>
        <w:spacing w:line="600" w:lineRule="exact"/>
        <w:ind w:left="502" w:hanging="502" w:hangingChars="157"/>
        <w:rPr>
          <w:rFonts w:ascii="仿宋_GB2312" w:hAnsi="Times New Roman" w:eastAsia="仿宋_GB2312" w:cs="Times New Roman"/>
          <w:sz w:val="32"/>
          <w:szCs w:val="32"/>
        </w:rPr>
      </w:pPr>
    </w:p>
    <w:p w14:paraId="344326ED">
      <w:pPr>
        <w:spacing w:line="600" w:lineRule="exact"/>
        <w:ind w:firstLine="199" w:firstLineChars="95"/>
        <w:rPr>
          <w:color w:val="000000" w:themeColor="text1"/>
          <w14:textFill>
            <w14:solidFill>
              <w14:schemeClr w14:val="tx1"/>
            </w14:solidFill>
          </w14:textFill>
        </w:rPr>
        <w:sectPr>
          <w:headerReference r:id="rId19" w:type="first"/>
          <w:footerReference r:id="rId22" w:type="first"/>
          <w:headerReference r:id="rId17" w:type="default"/>
          <w:footerReference r:id="rId20" w:type="default"/>
          <w:headerReference r:id="rId18" w:type="even"/>
          <w:footerReference r:id="rId21" w:type="even"/>
          <w:pgSz w:w="11906" w:h="16838"/>
          <w:pgMar w:top="1985" w:right="1446" w:bottom="1644" w:left="1446" w:header="851" w:footer="992" w:gutter="0"/>
          <w:cols w:space="425" w:num="1"/>
          <w:docGrid w:type="lines" w:linePitch="312" w:charSpace="0"/>
        </w:sectPr>
      </w:pPr>
    </w:p>
    <w:p w14:paraId="1076057F">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人口学</w:t>
      </w:r>
    </w:p>
    <w:p w14:paraId="3ECD4E8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1.以人口高质量发展支撑中国式现代化研究</w:t>
      </w:r>
    </w:p>
    <w:p w14:paraId="03967EC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2.新发展阶段重庆人口高质量发展的困境与路径研究</w:t>
      </w:r>
    </w:p>
    <w:p w14:paraId="7CEC71F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3.加快推进农业转移人口市民化研究</w:t>
      </w:r>
    </w:p>
    <w:p w14:paraId="1E37F6B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4.重庆人口监测预警指标体系构建研究</w:t>
      </w:r>
    </w:p>
    <w:p w14:paraId="4EEA830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5.重庆推进“医养结合”养老模式研究</w:t>
      </w:r>
    </w:p>
    <w:p w14:paraId="14F2F9D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6.重庆社区居家养老健康服务模式研究</w:t>
      </w:r>
    </w:p>
    <w:p w14:paraId="1F36B2A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7.新发展阶段重庆人口高质量发展的困境与路径研究</w:t>
      </w:r>
    </w:p>
    <w:p w14:paraId="559242A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8.人口高质量发展背景下重庆普惠托育服务建设研究</w:t>
      </w:r>
    </w:p>
    <w:p w14:paraId="4313C4D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9.重庆城市人口收缩与社会保障服务均等化研究</w:t>
      </w:r>
    </w:p>
    <w:p w14:paraId="5C41C73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10.重庆劳动力特征及对社会经济的影响研究</w:t>
      </w:r>
    </w:p>
    <w:p w14:paraId="03538EF2">
      <w:pPr>
        <w:spacing w:line="600" w:lineRule="exact"/>
        <w:ind w:left="502" w:hanging="502" w:hangingChars="157"/>
        <w:rPr>
          <w:rFonts w:ascii="仿宋_GB2312" w:eastAsia="仿宋_GB2312"/>
          <w:sz w:val="32"/>
          <w:szCs w:val="32"/>
        </w:rPr>
      </w:pPr>
    </w:p>
    <w:p w14:paraId="31581240">
      <w:pPr>
        <w:widowControl w:val="0"/>
        <w:spacing w:line="600" w:lineRule="exact"/>
        <w:ind w:left="502" w:hanging="502" w:hangingChars="157"/>
        <w:rPr>
          <w:rFonts w:ascii="仿宋_GB2312" w:hAnsi="Times New Roman" w:eastAsia="仿宋_GB2312" w:cs="Times New Roman"/>
          <w:color w:val="000000" w:themeColor="text1"/>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3397D87D">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民族学</w:t>
      </w:r>
    </w:p>
    <w:p w14:paraId="7C25799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1.马克思主义民族共同体理论中国化时代化研究</w:t>
      </w:r>
    </w:p>
    <w:p w14:paraId="1106EAA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2.西南地区多民族交往交流交融研究</w:t>
      </w:r>
    </w:p>
    <w:p w14:paraId="5AB94CD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3.铸牢中华民族共同体意识的作用机制与路径优化研究</w:t>
      </w:r>
    </w:p>
    <w:p w14:paraId="427B8A4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4.国外民族问题的新特点新趋势研究</w:t>
      </w:r>
    </w:p>
    <w:p w14:paraId="4DFB83B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5.西部大开发新格局与边疆地区深化改革开放研究</w:t>
      </w:r>
    </w:p>
    <w:p w14:paraId="5B36FCE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6.重庆民族地区旅游产业发展研究</w:t>
      </w:r>
    </w:p>
    <w:p w14:paraId="242031A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7.重庆民族地区乡村振兴研究</w:t>
      </w:r>
    </w:p>
    <w:p w14:paraId="0267A33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8.重庆各民族人口结构变化研究</w:t>
      </w:r>
    </w:p>
    <w:p w14:paraId="0C20620D">
      <w:pPr>
        <w:spacing w:line="600" w:lineRule="exact"/>
        <w:ind w:firstLine="304" w:firstLineChars="95"/>
        <w:rPr>
          <w:rFonts w:ascii="Times New Roman" w:hAnsi="Times New Roman" w:eastAsia="方正仿宋_GBK" w:cs="Times New Roman"/>
          <w:bCs/>
          <w:color w:val="000000" w:themeColor="text1"/>
          <w:kern w:val="0"/>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5EBFCB71">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新闻与传播学</w:t>
      </w:r>
    </w:p>
    <w:p w14:paraId="3E7D733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1.国际舆论战中涉华虚假信息传播及对策研究</w:t>
      </w:r>
    </w:p>
    <w:p w14:paraId="0986A38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2.中华文明国际传播策略研究</w:t>
      </w:r>
    </w:p>
    <w:p w14:paraId="673808A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3.跨文化传播与互动的理论和实践研究</w:t>
      </w:r>
    </w:p>
    <w:p w14:paraId="120F984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4.全媒体国际传播体系建设研究</w:t>
      </w:r>
    </w:p>
    <w:p w14:paraId="7FEE609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5.互联网信息推荐算法对青年价值观的影响及引导研究</w:t>
      </w:r>
    </w:p>
    <w:p w14:paraId="38FF205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6.引导社会力量参与公共文化服务体系建设研究</w:t>
      </w:r>
    </w:p>
    <w:p w14:paraId="3641D74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7.媒介变迁、交往革命与人的现代化研究</w:t>
      </w:r>
    </w:p>
    <w:p w14:paraId="67F407B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8.面向数字文明的媒介治理理论体系建构研究</w:t>
      </w:r>
    </w:p>
    <w:p w14:paraId="3D86645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9.以数字化赋能重庆媒体融合发展研究</w:t>
      </w:r>
    </w:p>
    <w:p w14:paraId="4510083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10.智能搜索下的重庆信息传播秩序研究</w:t>
      </w:r>
    </w:p>
    <w:p w14:paraId="33DCB59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11.跨文化传播与互动的理论和实践研究</w:t>
      </w:r>
    </w:p>
    <w:p w14:paraId="06EDDFD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12.网络信息内容安全风险综合治理研究</w:t>
      </w:r>
    </w:p>
    <w:p w14:paraId="7B67E2B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13.中国品牌国际传播的制约因素与能力提升研究</w:t>
      </w:r>
    </w:p>
    <w:p w14:paraId="4BF5058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14.人机融合与主流媒体智能传播的机理研究</w:t>
      </w:r>
    </w:p>
    <w:p w14:paraId="4011C4F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15.乡村治理视域下县级融媒体中心建设研究</w:t>
      </w:r>
    </w:p>
    <w:p w14:paraId="4D9B5B0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16.重庆出版单位社会效益评价体系建设研究</w:t>
      </w:r>
    </w:p>
    <w:p w14:paraId="78C83B8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17.重庆新闻出版大数据挖掘及利用研究</w:t>
      </w:r>
    </w:p>
    <w:p w14:paraId="49D45E3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18.加强乡村优秀传统文化保护传承和创新发展研究</w:t>
      </w:r>
    </w:p>
    <w:p w14:paraId="28847C5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19.数字经济背景下重庆出版业转型研究</w:t>
      </w:r>
    </w:p>
    <w:p w14:paraId="5D8E6ECC">
      <w:pPr>
        <w:spacing w:line="600" w:lineRule="exact"/>
        <w:ind w:firstLine="304" w:firstLineChars="95"/>
        <w:rPr>
          <w:rFonts w:ascii="Times New Roman" w:hAnsi="Times New Roman" w:eastAsia="方正仿宋_GBK" w:cs="Times New Roman"/>
          <w:bCs/>
          <w:color w:val="000000" w:themeColor="text1"/>
          <w:kern w:val="0"/>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3618BA81">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图书情报文献学</w:t>
      </w:r>
    </w:p>
    <w:p w14:paraId="034FE90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1.数智环境下工程档案数据治理路径研究</w:t>
      </w:r>
    </w:p>
    <w:p w14:paraId="7AA0AC7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2.教育强国背景下中小学图书馆作用机制研究</w:t>
      </w:r>
    </w:p>
    <w:p w14:paraId="40AFDAB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3.新一代人工智能背景下的计算档案学研究</w:t>
      </w:r>
    </w:p>
    <w:p w14:paraId="6C98D1A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4.认知和情境视角下的开放数据发现与复用研究</w:t>
      </w:r>
    </w:p>
    <w:p w14:paraId="784202D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5.元宇宙在数字档案开发利用中的应用研究</w:t>
      </w:r>
    </w:p>
    <w:p w14:paraId="359FBFC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6.数字经济环境下成渝地区双城经济圈情报分析方法创新研究</w:t>
      </w:r>
    </w:p>
    <w:p w14:paraId="41656C2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7.数据态环境下重庆档案管理模式创新研究</w:t>
      </w:r>
    </w:p>
    <w:p w14:paraId="0C3DF3E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8.可移动文物智慧数据组织与方法研究</w:t>
      </w:r>
    </w:p>
    <w:p w14:paraId="30EB1FC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9.成渝地区双城经济圈健康信息交互行为模式识别与智能化信息</w:t>
      </w:r>
    </w:p>
    <w:p w14:paraId="08E303E7">
      <w:pPr>
        <w:spacing w:line="600" w:lineRule="exact"/>
        <w:ind w:left="498" w:leftChars="152" w:hanging="179" w:hangingChars="56"/>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检索模型研究</w:t>
      </w:r>
    </w:p>
    <w:p w14:paraId="43737A8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10.危机情境下重庆失真信息用户趋避行为及引导策略研究</w:t>
      </w:r>
    </w:p>
    <w:p w14:paraId="2E056F6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11.智能时代重庆信息贫困人群的信息行为与治理研究</w:t>
      </w:r>
    </w:p>
    <w:p w14:paraId="459DEC2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12.重庆面向2035的中国特色档案工作标准体系建设研究</w:t>
      </w:r>
    </w:p>
    <w:p w14:paraId="3E06B91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13.开放科学环境下重庆科研成果社会影响力评价研究</w:t>
      </w:r>
    </w:p>
    <w:p w14:paraId="2CA9B21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14.数智环境下重庆工程档案数据治理路径研究</w:t>
      </w:r>
    </w:p>
    <w:p w14:paraId="36C7543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15.重庆档案智能编研与知识发现研究</w:t>
      </w:r>
    </w:p>
    <w:p w14:paraId="60D38D4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16.数据态环境下重庆档案管理模式创新研究</w:t>
      </w:r>
    </w:p>
    <w:p w14:paraId="4DEA364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17.开放获取背景下重庆学术信息可信度与权威性评价研究</w:t>
      </w:r>
    </w:p>
    <w:p w14:paraId="5C15A7B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18.重庆档案数据开放利用中的伦理风险及其法律规制研究</w:t>
      </w:r>
    </w:p>
    <w:p w14:paraId="4856A1C3">
      <w:pPr>
        <w:spacing w:line="600" w:lineRule="exact"/>
        <w:ind w:firstLine="304" w:firstLineChars="95"/>
        <w:rPr>
          <w:rFonts w:ascii="Times New Roman" w:hAnsi="Times New Roman" w:eastAsia="方正仿宋_GBK" w:cs="Times New Roman"/>
          <w:bCs/>
          <w:color w:val="000000" w:themeColor="text1"/>
          <w:kern w:val="0"/>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4BF00E6E">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教育学/心理学</w:t>
      </w:r>
    </w:p>
    <w:p w14:paraId="18EC461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1.马克思主义教育思想理论体系研究 </w:t>
      </w:r>
    </w:p>
    <w:p w14:paraId="4E0AF0F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2.中国数字教育实践的理论建构研究</w:t>
      </w:r>
    </w:p>
    <w:p w14:paraId="69D9F3E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3.教育学教学研究体系深层变革研究 </w:t>
      </w:r>
    </w:p>
    <w:p w14:paraId="60ECDC7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4.大科学时代高校高层次人才集聚模式创新研究</w:t>
      </w:r>
    </w:p>
    <w:p w14:paraId="76DB4AA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5.人工智能时代核心素养导向的基础教育课程改革研究 </w:t>
      </w:r>
    </w:p>
    <w:p w14:paraId="3546187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6.内陆地区教育开放合作的模式创新与实践案例研究</w:t>
      </w:r>
    </w:p>
    <w:p w14:paraId="2E93DA2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7.重庆中小学生减负的路径与机制研究</w:t>
      </w:r>
    </w:p>
    <w:p w14:paraId="4D40E46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8.重庆高等教育综合改革试验的典型案例研究 </w:t>
      </w:r>
    </w:p>
    <w:p w14:paraId="0FFF272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9.重庆教育强市建设的发展战略与实施机制研究</w:t>
      </w:r>
    </w:p>
    <w:p w14:paraId="140C74F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10.</w:t>
      </w:r>
      <w:r>
        <w:rPr>
          <w:rFonts w:hint="eastAsia" w:ascii="Times New Roman" w:hAnsi="Times New Roman" w:eastAsia="方正仿宋_GBK" w:cs="Times New Roman"/>
          <w:bCs/>
          <w:color w:val="000000" w:themeColor="text1"/>
          <w:spacing w:val="-10"/>
          <w:kern w:val="0"/>
          <w:sz w:val="32"/>
          <w:szCs w:val="32"/>
          <w14:textFill>
            <w14:solidFill>
              <w14:schemeClr w14:val="tx1"/>
            </w14:solidFill>
          </w14:textFill>
        </w:rPr>
        <w:t>基于数字思政驱动的重庆大中小学思政教育一体化实践路径研究</w:t>
      </w:r>
    </w:p>
    <w:p w14:paraId="63E06A3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11.重庆高校战略紧缺和新兴交叉学科建设研究 </w:t>
      </w:r>
    </w:p>
    <w:p w14:paraId="66A6F68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12.数据驱动的重庆教育高质量发展研究 </w:t>
      </w:r>
    </w:p>
    <w:p w14:paraId="4A3BF55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13.少子化背景下重庆师范生培养的挑战与应对策略研究 </w:t>
      </w:r>
    </w:p>
    <w:p w14:paraId="7A5AE02B">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14.重庆职业教育现代化改革与质量提升策略研究</w:t>
      </w:r>
    </w:p>
    <w:p w14:paraId="01E5531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15.重庆超大城市现代化教育治理体系研究</w:t>
      </w:r>
    </w:p>
    <w:p w14:paraId="45462C3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16.重庆中小学心理健康教育工作体系优化研究</w:t>
      </w:r>
    </w:p>
    <w:p w14:paraId="384FF21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17.重庆教育强市建设的经费投入保障机制研究</w:t>
      </w:r>
    </w:p>
    <w:p w14:paraId="3709A36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18.重庆市学前教育普惠性资源布局优化策略研究</w:t>
      </w:r>
    </w:p>
    <w:p w14:paraId="7C9884B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19.重庆市幼儿园保育教育质量提升策略研究 </w:t>
      </w:r>
    </w:p>
    <w:p w14:paraId="387462D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20.重庆困境儿童家庭学校社会协同育人支持体系研究 </w:t>
      </w:r>
    </w:p>
    <w:p w14:paraId="05B1278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21.重庆市基础教育评价机制创新研究 </w:t>
      </w:r>
    </w:p>
    <w:p w14:paraId="0EFD810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22.重庆高质量教育体系研究 </w:t>
      </w:r>
    </w:p>
    <w:p w14:paraId="70710417">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23.重庆市教育保障风险预警机制研究</w:t>
      </w:r>
    </w:p>
    <w:p w14:paraId="0ED27D8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24.重庆民办学校办学质量督导评估改革研究</w:t>
      </w:r>
    </w:p>
    <w:p w14:paraId="02C908C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25.人工智能技术赋能重庆教育考试的机遇与风险研究</w:t>
      </w:r>
    </w:p>
    <w:p w14:paraId="4F6BB5E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26.以新质生产力引领重庆职业教育新格局构建研究 </w:t>
      </w:r>
    </w:p>
    <w:p w14:paraId="78CA664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27.教育强市背景下重庆技能型社会建设推进策略研究</w:t>
      </w:r>
    </w:p>
    <w:p w14:paraId="0B1408E1">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28.重庆民族地区教育事业发展调查研究  </w:t>
      </w:r>
    </w:p>
    <w:p w14:paraId="16A80E1F">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29.数智化赋能重庆职业院校产教深度融合的路径研究 </w:t>
      </w:r>
    </w:p>
    <w:p w14:paraId="1CEB80E8">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30.重庆职业院校学生心理健康问题筛查、识别与干预机制研究</w:t>
      </w:r>
    </w:p>
    <w:p w14:paraId="2F70905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31.</w:t>
      </w:r>
      <w:r>
        <w:rPr>
          <w:rFonts w:hint="eastAsia" w:ascii="Times New Roman" w:hAnsi="Times New Roman" w:eastAsia="方正仿宋_GBK" w:cs="Times New Roman"/>
          <w:bCs/>
          <w:color w:val="000000" w:themeColor="text1"/>
          <w:spacing w:val="-12"/>
          <w:kern w:val="0"/>
          <w:sz w:val="32"/>
          <w:szCs w:val="32"/>
          <w14:textFill>
            <w14:solidFill>
              <w14:schemeClr w14:val="tx1"/>
            </w14:solidFill>
          </w14:textFill>
        </w:rPr>
        <w:t>新质生产力背景下重庆职业院校专业结构优化与人才培养模式研究</w:t>
      </w:r>
    </w:p>
    <w:p w14:paraId="15B11E86">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32.人口发展视角下重庆职业教育资源配置重构研究</w:t>
      </w:r>
    </w:p>
    <w:p w14:paraId="47A4722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33.重庆教育数字化转型策略和路径研究</w:t>
      </w:r>
    </w:p>
    <w:p w14:paraId="485EA2C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34.新时代重庆市高校学科思政建设路径与实践研究</w:t>
      </w:r>
    </w:p>
    <w:p w14:paraId="312625C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35.重庆普通高校落实立德树人根本任务的综合督导评估研究</w:t>
      </w:r>
    </w:p>
    <w:p w14:paraId="275C4073">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 xml:space="preserve">36.重庆高等教育对推动形成新质生产力的作用和发展路径研究 </w:t>
      </w:r>
    </w:p>
    <w:p w14:paraId="6B66F90E">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37.重庆普通本科高校一流本科拔尖创新人才培养模式研究</w:t>
      </w:r>
    </w:p>
    <w:p w14:paraId="7B711965">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38.研究生教育强国的重庆实践与未来发展研究</w:t>
      </w:r>
    </w:p>
    <w:p w14:paraId="1E74EC22">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39.重</w:t>
      </w:r>
      <w:r>
        <w:rPr>
          <w:rFonts w:hint="eastAsia" w:ascii="Times New Roman" w:hAnsi="Times New Roman" w:eastAsia="方正仿宋_GBK" w:cs="Times New Roman"/>
          <w:bCs/>
          <w:color w:val="000000" w:themeColor="text1"/>
          <w:spacing w:val="-6"/>
          <w:kern w:val="0"/>
          <w:sz w:val="32"/>
          <w:szCs w:val="32"/>
          <w14:textFill>
            <w14:solidFill>
              <w14:schemeClr w14:val="tx1"/>
            </w14:solidFill>
          </w14:textFill>
        </w:rPr>
        <w:t>庆人工智能辅助下的学生情绪管理与学习效果提升策略研究</w:t>
      </w:r>
    </w:p>
    <w:p w14:paraId="0F75A109">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40.重庆学生心理健康动态监测及结果应用研究</w:t>
      </w:r>
    </w:p>
    <w:p w14:paraId="032BD394">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41.重庆青少年心理健康发展自然教育课程开发与应用研究</w:t>
      </w:r>
    </w:p>
    <w:p w14:paraId="553C7B3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42.重庆校园课程文化对学生心理素养促进和培养的影响研究</w:t>
      </w:r>
    </w:p>
    <w:p w14:paraId="570BC81A">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43.重庆</w:t>
      </w:r>
      <w:r>
        <w:rPr>
          <w:rFonts w:ascii="Times New Roman" w:hAnsi="Times New Roman" w:eastAsia="方正仿宋_GBK" w:cs="Times New Roman"/>
          <w:bCs/>
          <w:color w:val="000000" w:themeColor="text1"/>
          <w:kern w:val="0"/>
          <w:sz w:val="32"/>
          <w:szCs w:val="32"/>
          <w14:textFill>
            <w14:solidFill>
              <w14:schemeClr w14:val="tx1"/>
            </w14:solidFill>
          </w14:textFill>
        </w:rPr>
        <w:t>建设新时代教育强市的监测与</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评估</w:t>
      </w:r>
      <w:r>
        <w:rPr>
          <w:rFonts w:ascii="Times New Roman" w:hAnsi="Times New Roman" w:eastAsia="方正仿宋_GBK" w:cs="Times New Roman"/>
          <w:bCs/>
          <w:color w:val="000000" w:themeColor="text1"/>
          <w:kern w:val="0"/>
          <w:sz w:val="32"/>
          <w:szCs w:val="32"/>
          <w14:textFill>
            <w14:solidFill>
              <w14:schemeClr w14:val="tx1"/>
            </w14:solidFill>
          </w14:textFill>
        </w:rPr>
        <w:t>研究</w:t>
      </w:r>
    </w:p>
    <w:p w14:paraId="25D4B89C">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44.重庆高校学科设置调整机制研究</w:t>
      </w:r>
    </w:p>
    <w:p w14:paraId="72FF178D">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45.重庆建立健全教育领域“大综合一体化”治理体制</w:t>
      </w:r>
      <w:r>
        <w:rPr>
          <w:rFonts w:ascii="Times New Roman" w:hAnsi="Times New Roman" w:eastAsia="方正仿宋_GBK" w:cs="Times New Roman"/>
          <w:bCs/>
          <w:color w:val="000000" w:themeColor="text1"/>
          <w:kern w:val="0"/>
          <w:sz w:val="32"/>
          <w:szCs w:val="32"/>
          <w14:textFill>
            <w14:solidFill>
              <w14:schemeClr w14:val="tx1"/>
            </w14:solidFill>
          </w14:textFill>
        </w:rPr>
        <w:t>机制研究</w:t>
      </w:r>
    </w:p>
    <w:p w14:paraId="160E6210">
      <w:pPr>
        <w:spacing w:line="60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46.适应人口变化趋势的教育结构优化与</w:t>
      </w:r>
      <w:r>
        <w:rPr>
          <w:rFonts w:ascii="Times New Roman" w:hAnsi="Times New Roman" w:eastAsia="方正仿宋_GBK" w:cs="Times New Roman"/>
          <w:bCs/>
          <w:color w:val="000000" w:themeColor="text1"/>
          <w:kern w:val="0"/>
          <w:sz w:val="32"/>
          <w:szCs w:val="32"/>
          <w14:textFill>
            <w14:solidFill>
              <w14:schemeClr w14:val="tx1"/>
            </w14:solidFill>
          </w14:textFill>
        </w:rPr>
        <w:t>教育资源</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配置</w:t>
      </w:r>
      <w:r>
        <w:rPr>
          <w:rFonts w:ascii="Times New Roman" w:hAnsi="Times New Roman" w:eastAsia="方正仿宋_GBK" w:cs="Times New Roman"/>
          <w:bCs/>
          <w:color w:val="000000" w:themeColor="text1"/>
          <w:kern w:val="0"/>
          <w:sz w:val="32"/>
          <w:szCs w:val="32"/>
          <w14:textFill>
            <w14:solidFill>
              <w14:schemeClr w14:val="tx1"/>
            </w14:solidFill>
          </w14:textFill>
        </w:rPr>
        <w:t>机制研究</w:t>
      </w:r>
    </w:p>
    <w:p w14:paraId="71598A07">
      <w:pPr>
        <w:spacing w:line="600" w:lineRule="exact"/>
        <w:ind w:left="502" w:hanging="502" w:hangingChars="157"/>
        <w:rPr>
          <w:rFonts w:ascii="仿宋_GB2312" w:eastAsia="仿宋_GB2312"/>
          <w:color w:val="000000" w:themeColor="text1"/>
          <w:sz w:val="32"/>
          <w:szCs w:val="32"/>
          <w14:textFill>
            <w14:solidFill>
              <w14:schemeClr w14:val="tx1"/>
            </w14:solidFill>
          </w14:textFill>
        </w:rPr>
      </w:pPr>
    </w:p>
    <w:p w14:paraId="6ED7DF4D">
      <w:pPr>
        <w:widowControl w:val="0"/>
        <w:spacing w:line="600" w:lineRule="exact"/>
        <w:ind w:firstLine="0" w:firstLineChars="0"/>
        <w:rPr>
          <w:rFonts w:ascii="仿宋_GB2312" w:hAnsi="Times New Roman" w:eastAsia="仿宋_GB2312" w:cs="Times New Roman"/>
          <w:color w:val="000000" w:themeColor="text1"/>
          <w:sz w:val="32"/>
          <w:szCs w:val="32"/>
          <w14:textFill>
            <w14:solidFill>
              <w14:schemeClr w14:val="tx1"/>
            </w14:solidFill>
          </w14:textFill>
        </w:rPr>
        <w:sectPr>
          <w:pgSz w:w="11906" w:h="16838"/>
          <w:pgMar w:top="1985" w:right="1446" w:bottom="1644" w:left="1446" w:header="851" w:footer="992" w:gutter="0"/>
          <w:cols w:space="425" w:num="1"/>
          <w:docGrid w:type="lines" w:linePitch="312" w:charSpace="0"/>
        </w:sectPr>
      </w:pPr>
    </w:p>
    <w:p w14:paraId="3D8B5C43">
      <w:pPr>
        <w:keepNext/>
        <w:keepLines/>
        <w:spacing w:line="600" w:lineRule="exact"/>
        <w:ind w:firstLine="0" w:firstLineChars="0"/>
        <w:jc w:val="center"/>
        <w:outlineLvl w:val="0"/>
        <w:rPr>
          <w:rFonts w:ascii="方正黑体_GBK" w:hAnsi="黑体" w:eastAsia="方正黑体_GBK" w:cs="宋体"/>
          <w:bCs/>
          <w:color w:val="000000" w:themeColor="text1"/>
          <w:kern w:val="0"/>
          <w:sz w:val="32"/>
          <w:szCs w:val="32"/>
          <w14:textFill>
            <w14:solidFill>
              <w14:schemeClr w14:val="tx1"/>
            </w14:solidFill>
          </w14:textFill>
        </w:rPr>
      </w:pPr>
      <w:r>
        <w:rPr>
          <w:rFonts w:hint="eastAsia" w:ascii="方正黑体_GBK" w:hAnsi="黑体" w:eastAsia="方正黑体_GBK" w:cs="宋体"/>
          <w:bCs/>
          <w:color w:val="000000" w:themeColor="text1"/>
          <w:kern w:val="0"/>
          <w:sz w:val="32"/>
          <w:szCs w:val="32"/>
          <w14:textFill>
            <w14:solidFill>
              <w14:schemeClr w14:val="tx1"/>
            </w14:solidFill>
          </w14:textFill>
        </w:rPr>
        <w:t>体育学</w:t>
      </w:r>
    </w:p>
    <w:p w14:paraId="1583A74A">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1.近现代我国体育教育思想传承与创新研究</w:t>
      </w:r>
    </w:p>
    <w:p w14:paraId="6DE2B000">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2.中国职业体育改革与发展研究</w:t>
      </w:r>
    </w:p>
    <w:p w14:paraId="7B1277B9">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3.新质生产力赋能体育产业高质量发展研究</w:t>
      </w:r>
    </w:p>
    <w:p w14:paraId="5562FD6E">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4.新时期我国青少年体育政策协同研究</w:t>
      </w:r>
    </w:p>
    <w:p w14:paraId="0E36CB4B">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5.全民健身服务创新机制与路径研究</w:t>
      </w:r>
    </w:p>
    <w:p w14:paraId="2320626E">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6.体育法视域下消费高质量发展的法治研究</w:t>
      </w:r>
    </w:p>
    <w:p w14:paraId="43C7E847">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7.重庆体育产业领域新质生产力发展研究</w:t>
      </w:r>
    </w:p>
    <w:p w14:paraId="1E16DB9A">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kern w:val="0"/>
          <w:sz w:val="32"/>
          <w:szCs w:val="32"/>
          <w14:textFill>
            <w14:solidFill>
              <w14:schemeClr w14:val="tx1"/>
            </w14:solidFill>
          </w14:textFill>
        </w:rPr>
        <w:t>8.基于核心素养下的重庆中小学体育学练赛一体化的实践研究</w:t>
      </w:r>
    </w:p>
    <w:p w14:paraId="5C989728">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9.新质生产力提升成渝地区双城经济圈体育产业链韧性研究</w:t>
      </w:r>
    </w:p>
    <w:p w14:paraId="64567699">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10.成渝地区双城经济圈文体旅产业融合发展研究</w:t>
      </w:r>
    </w:p>
    <w:p w14:paraId="65173B99">
      <w:pPr>
        <w:spacing w:line="560" w:lineRule="exact"/>
        <w:ind w:left="502" w:hanging="502" w:hangingChars="157"/>
        <w:rPr>
          <w:rFonts w:ascii="Times New Roman" w:hAnsi="Times New Roman" w:eastAsia="方正仿宋_GBK" w:cs="Times New Roman"/>
          <w:bCs/>
          <w:color w:val="000000" w:themeColor="text1"/>
          <w:spacing w:val="-20"/>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11.体</w:t>
      </w:r>
      <w:r>
        <w:rPr>
          <w:rFonts w:hint="eastAsia" w:ascii="Times New Roman" w:hAnsi="Times New Roman" w:eastAsia="方正仿宋_GBK" w:cs="Times New Roman"/>
          <w:bCs/>
          <w:color w:val="000000" w:themeColor="text1"/>
          <w:spacing w:val="-20"/>
          <w:kern w:val="0"/>
          <w:sz w:val="32"/>
          <w:szCs w:val="32"/>
          <w14:textFill>
            <w14:solidFill>
              <w14:schemeClr w14:val="tx1"/>
            </w14:solidFill>
          </w14:textFill>
        </w:rPr>
        <w:t>教融合背景下重庆青少年竞技体育后备人才培养协作治理体系研究</w:t>
      </w:r>
    </w:p>
    <w:p w14:paraId="05CD6684">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12.数字教育背景下高校体育多元协同的智慧教学模式研究</w:t>
      </w:r>
    </w:p>
    <w:p w14:paraId="5B793698">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13.新智慧体育下重庆中小学校体育教学实践研究</w:t>
      </w:r>
    </w:p>
    <w:p w14:paraId="1D67D1A1">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14.青少年体育赛事体系研究</w:t>
      </w:r>
    </w:p>
    <w:p w14:paraId="3E4BE8EF">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15.体育社交媒体健康传播与重庆青少年体育行为互动影响研究</w:t>
      </w:r>
    </w:p>
    <w:p w14:paraId="56CD235D">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16.人工智能引领重庆运动训练发展的实践研究</w:t>
      </w:r>
    </w:p>
    <w:p w14:paraId="788B7067">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17.数字经济对重庆体育产业高质量发展的影响研究</w:t>
      </w:r>
    </w:p>
    <w:p w14:paraId="61D11BB0">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18.重庆特色体育赛事体系创新研究</w:t>
      </w:r>
    </w:p>
    <w:p w14:paraId="16DB49DD">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19.数字技术赋能重庆体育产业数字化转型研究</w:t>
      </w:r>
    </w:p>
    <w:p w14:paraId="0C49E257">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20.重庆群众体育组织和体育赛事活动体系研究</w:t>
      </w:r>
    </w:p>
    <w:p w14:paraId="4265A1DE">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21.重庆体育德治与法治的关系及良性互动机制研究</w:t>
      </w:r>
    </w:p>
    <w:p w14:paraId="02B0CFFF">
      <w:pPr>
        <w:spacing w:line="560" w:lineRule="exact"/>
        <w:ind w:left="502" w:hanging="502" w:hangingChars="157"/>
        <w:rPr>
          <w:rFonts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Cs/>
          <w:color w:val="000000" w:themeColor="text1"/>
          <w:kern w:val="0"/>
          <w:sz w:val="32"/>
          <w:szCs w:val="32"/>
          <w14:textFill>
            <w14:solidFill>
              <w14:schemeClr w14:val="tx1"/>
            </w14:solidFill>
          </w14:textFill>
        </w:rPr>
        <w:t>22.重庆信息技术与体育科技的融合研究</w:t>
      </w:r>
    </w:p>
    <w:sectPr>
      <w:pgSz w:w="11906" w:h="16838"/>
      <w:pgMar w:top="1985" w:right="1446" w:bottom="1644"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D569">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A69B">
    <w:pPr>
      <w:pStyle w:val="3"/>
      <w:framePr w:wrap="around" w:vAnchor="text" w:hAnchor="margin" w:xAlign="center" w:y="1"/>
      <w:ind w:firstLine="360"/>
      <w:rPr>
        <w:rStyle w:val="8"/>
      </w:rPr>
    </w:pPr>
    <w:r>
      <w:fldChar w:fldCharType="begin"/>
    </w:r>
    <w:r>
      <w:rPr>
        <w:rStyle w:val="8"/>
      </w:rPr>
      <w:instrText xml:space="preserve">PAGE  </w:instrText>
    </w:r>
    <w:r>
      <w:fldChar w:fldCharType="separate"/>
    </w:r>
    <w:r>
      <w:rPr>
        <w:rStyle w:val="8"/>
      </w:rPr>
      <w:t xml:space="preserve"> </w:t>
    </w:r>
    <w:r>
      <w:fldChar w:fldCharType="end"/>
    </w:r>
  </w:p>
  <w:p w14:paraId="457CCD92">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05EB">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DDC60">
    <w:pPr>
      <w:pStyle w:val="3"/>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C64EB">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C09B">
    <w:pPr>
      <w:pStyle w:val="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0AE3">
    <w:pPr>
      <w:pStyle w:val="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DB43B">
    <w:pPr>
      <w:pStyle w:val="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889B9">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DC870">
    <w:pPr>
      <w:ind w:firstLine="0" w:firstLineChars="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8E968">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95B2">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0D59">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74AF">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A428F">
    <w:pPr>
      <w:pStyle w:val="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200D8">
    <w:pPr>
      <w:ind w:firstLine="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B9F48">
    <w:pPr>
      <w:pStyle w:val="4"/>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E867E">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NTRhNjdiMzlkMzRmNGNkOWY1N2FiYTNlMzNjMWMifQ=="/>
  </w:docVars>
  <w:rsids>
    <w:rsidRoot w:val="00401DE5"/>
    <w:rsid w:val="00003043"/>
    <w:rsid w:val="000161CB"/>
    <w:rsid w:val="00017C59"/>
    <w:rsid w:val="00023E91"/>
    <w:rsid w:val="00025865"/>
    <w:rsid w:val="0004377E"/>
    <w:rsid w:val="0005088C"/>
    <w:rsid w:val="000577CC"/>
    <w:rsid w:val="000601BF"/>
    <w:rsid w:val="00060801"/>
    <w:rsid w:val="0006195E"/>
    <w:rsid w:val="000709F6"/>
    <w:rsid w:val="00072BDC"/>
    <w:rsid w:val="00074E83"/>
    <w:rsid w:val="00085CEE"/>
    <w:rsid w:val="000A4D51"/>
    <w:rsid w:val="000A7E69"/>
    <w:rsid w:val="000B1345"/>
    <w:rsid w:val="000C4C31"/>
    <w:rsid w:val="000C5720"/>
    <w:rsid w:val="000C5F06"/>
    <w:rsid w:val="000E5649"/>
    <w:rsid w:val="00101198"/>
    <w:rsid w:val="00102911"/>
    <w:rsid w:val="00106E84"/>
    <w:rsid w:val="00107E10"/>
    <w:rsid w:val="0011084C"/>
    <w:rsid w:val="00110D98"/>
    <w:rsid w:val="00116223"/>
    <w:rsid w:val="0012128A"/>
    <w:rsid w:val="00122841"/>
    <w:rsid w:val="0012304C"/>
    <w:rsid w:val="001244E0"/>
    <w:rsid w:val="0013113D"/>
    <w:rsid w:val="001402A1"/>
    <w:rsid w:val="00146A7A"/>
    <w:rsid w:val="00146FD4"/>
    <w:rsid w:val="00154DC7"/>
    <w:rsid w:val="00176C2E"/>
    <w:rsid w:val="00190F48"/>
    <w:rsid w:val="001A7726"/>
    <w:rsid w:val="001B0E10"/>
    <w:rsid w:val="001B2D58"/>
    <w:rsid w:val="001B425D"/>
    <w:rsid w:val="001C2867"/>
    <w:rsid w:val="001D51E9"/>
    <w:rsid w:val="001E18CD"/>
    <w:rsid w:val="001E2FE0"/>
    <w:rsid w:val="00212E5A"/>
    <w:rsid w:val="00231011"/>
    <w:rsid w:val="00244BE4"/>
    <w:rsid w:val="0026141B"/>
    <w:rsid w:val="00261B9A"/>
    <w:rsid w:val="002647C5"/>
    <w:rsid w:val="00267379"/>
    <w:rsid w:val="0029016E"/>
    <w:rsid w:val="002978AA"/>
    <w:rsid w:val="002A1BE1"/>
    <w:rsid w:val="002A4E3F"/>
    <w:rsid w:val="002D5688"/>
    <w:rsid w:val="002D5D9F"/>
    <w:rsid w:val="00302636"/>
    <w:rsid w:val="00312657"/>
    <w:rsid w:val="00323A73"/>
    <w:rsid w:val="00331886"/>
    <w:rsid w:val="00336DF3"/>
    <w:rsid w:val="0034534D"/>
    <w:rsid w:val="00354F13"/>
    <w:rsid w:val="00380CB5"/>
    <w:rsid w:val="003A2D5C"/>
    <w:rsid w:val="003B0327"/>
    <w:rsid w:val="003B0C15"/>
    <w:rsid w:val="003B46D0"/>
    <w:rsid w:val="003B5DCB"/>
    <w:rsid w:val="003C3A33"/>
    <w:rsid w:val="003C5006"/>
    <w:rsid w:val="003E4DDE"/>
    <w:rsid w:val="00401DE5"/>
    <w:rsid w:val="00421DEC"/>
    <w:rsid w:val="00422847"/>
    <w:rsid w:val="004358F0"/>
    <w:rsid w:val="00441DD6"/>
    <w:rsid w:val="00460863"/>
    <w:rsid w:val="00467D9D"/>
    <w:rsid w:val="00474427"/>
    <w:rsid w:val="00474644"/>
    <w:rsid w:val="00474979"/>
    <w:rsid w:val="004761E1"/>
    <w:rsid w:val="00477F9A"/>
    <w:rsid w:val="00481D6F"/>
    <w:rsid w:val="00484350"/>
    <w:rsid w:val="0048445E"/>
    <w:rsid w:val="00493E34"/>
    <w:rsid w:val="004B115D"/>
    <w:rsid w:val="004B1639"/>
    <w:rsid w:val="004B34CF"/>
    <w:rsid w:val="004B3D23"/>
    <w:rsid w:val="004C4DC7"/>
    <w:rsid w:val="004D5A54"/>
    <w:rsid w:val="004F1DA7"/>
    <w:rsid w:val="004F2025"/>
    <w:rsid w:val="004F658B"/>
    <w:rsid w:val="00504F8A"/>
    <w:rsid w:val="00522477"/>
    <w:rsid w:val="00531670"/>
    <w:rsid w:val="0054062C"/>
    <w:rsid w:val="005450D1"/>
    <w:rsid w:val="00545743"/>
    <w:rsid w:val="00547ADE"/>
    <w:rsid w:val="00562D5B"/>
    <w:rsid w:val="005842E1"/>
    <w:rsid w:val="0058612C"/>
    <w:rsid w:val="00594936"/>
    <w:rsid w:val="00596EC6"/>
    <w:rsid w:val="005A291E"/>
    <w:rsid w:val="005A773F"/>
    <w:rsid w:val="005B5A66"/>
    <w:rsid w:val="005B6444"/>
    <w:rsid w:val="005C1F55"/>
    <w:rsid w:val="005D093A"/>
    <w:rsid w:val="005D2BDC"/>
    <w:rsid w:val="005E3EF4"/>
    <w:rsid w:val="00603392"/>
    <w:rsid w:val="00603EDA"/>
    <w:rsid w:val="00611759"/>
    <w:rsid w:val="00633033"/>
    <w:rsid w:val="0064061E"/>
    <w:rsid w:val="00640C45"/>
    <w:rsid w:val="00645AE5"/>
    <w:rsid w:val="00646DBE"/>
    <w:rsid w:val="006477F9"/>
    <w:rsid w:val="00654402"/>
    <w:rsid w:val="0067606B"/>
    <w:rsid w:val="00697AC6"/>
    <w:rsid w:val="006A11B6"/>
    <w:rsid w:val="006A51F5"/>
    <w:rsid w:val="006B19F3"/>
    <w:rsid w:val="006B2B55"/>
    <w:rsid w:val="006C514A"/>
    <w:rsid w:val="006D2BE1"/>
    <w:rsid w:val="006E5974"/>
    <w:rsid w:val="006E60E4"/>
    <w:rsid w:val="00711A6F"/>
    <w:rsid w:val="0071397F"/>
    <w:rsid w:val="00724ED7"/>
    <w:rsid w:val="0072737E"/>
    <w:rsid w:val="00731081"/>
    <w:rsid w:val="00733E6F"/>
    <w:rsid w:val="00740225"/>
    <w:rsid w:val="007555FB"/>
    <w:rsid w:val="00760268"/>
    <w:rsid w:val="007746C7"/>
    <w:rsid w:val="00792064"/>
    <w:rsid w:val="00793954"/>
    <w:rsid w:val="0079606F"/>
    <w:rsid w:val="007A253F"/>
    <w:rsid w:val="007A3336"/>
    <w:rsid w:val="007B48BE"/>
    <w:rsid w:val="007C286B"/>
    <w:rsid w:val="007C4150"/>
    <w:rsid w:val="007E14F0"/>
    <w:rsid w:val="007E5DA8"/>
    <w:rsid w:val="007E7411"/>
    <w:rsid w:val="007F0275"/>
    <w:rsid w:val="007F5D00"/>
    <w:rsid w:val="00801B61"/>
    <w:rsid w:val="00804310"/>
    <w:rsid w:val="00806E98"/>
    <w:rsid w:val="008165DF"/>
    <w:rsid w:val="00830028"/>
    <w:rsid w:val="008341DE"/>
    <w:rsid w:val="00841B82"/>
    <w:rsid w:val="00846962"/>
    <w:rsid w:val="00853A70"/>
    <w:rsid w:val="0086508F"/>
    <w:rsid w:val="0086671A"/>
    <w:rsid w:val="00894FF0"/>
    <w:rsid w:val="00895690"/>
    <w:rsid w:val="008A04D4"/>
    <w:rsid w:val="008A2A3A"/>
    <w:rsid w:val="008C3F0C"/>
    <w:rsid w:val="008D5B09"/>
    <w:rsid w:val="008E1F6F"/>
    <w:rsid w:val="008E38E3"/>
    <w:rsid w:val="008F718B"/>
    <w:rsid w:val="00902865"/>
    <w:rsid w:val="009149C0"/>
    <w:rsid w:val="0092099E"/>
    <w:rsid w:val="00922BD1"/>
    <w:rsid w:val="009304EA"/>
    <w:rsid w:val="0093282C"/>
    <w:rsid w:val="009405E8"/>
    <w:rsid w:val="0097062F"/>
    <w:rsid w:val="009B2A29"/>
    <w:rsid w:val="009C1B8C"/>
    <w:rsid w:val="009C3FD8"/>
    <w:rsid w:val="009D7510"/>
    <w:rsid w:val="009E2D45"/>
    <w:rsid w:val="009E4513"/>
    <w:rsid w:val="00A105A7"/>
    <w:rsid w:val="00A200AB"/>
    <w:rsid w:val="00A2377E"/>
    <w:rsid w:val="00A3601C"/>
    <w:rsid w:val="00A3659B"/>
    <w:rsid w:val="00A37E78"/>
    <w:rsid w:val="00A46F80"/>
    <w:rsid w:val="00A61520"/>
    <w:rsid w:val="00A72980"/>
    <w:rsid w:val="00A76C0E"/>
    <w:rsid w:val="00A86CA5"/>
    <w:rsid w:val="00A91914"/>
    <w:rsid w:val="00A940DC"/>
    <w:rsid w:val="00A94D7E"/>
    <w:rsid w:val="00AA2E3E"/>
    <w:rsid w:val="00AA7A49"/>
    <w:rsid w:val="00AB25CF"/>
    <w:rsid w:val="00AB5A72"/>
    <w:rsid w:val="00AC7397"/>
    <w:rsid w:val="00AD44BB"/>
    <w:rsid w:val="00AD627D"/>
    <w:rsid w:val="00AE7364"/>
    <w:rsid w:val="00AF35D6"/>
    <w:rsid w:val="00AF7704"/>
    <w:rsid w:val="00B0439E"/>
    <w:rsid w:val="00B12164"/>
    <w:rsid w:val="00B16B4C"/>
    <w:rsid w:val="00B2386F"/>
    <w:rsid w:val="00B27A25"/>
    <w:rsid w:val="00B31673"/>
    <w:rsid w:val="00B320B2"/>
    <w:rsid w:val="00B3771F"/>
    <w:rsid w:val="00B44B11"/>
    <w:rsid w:val="00B5304A"/>
    <w:rsid w:val="00B87669"/>
    <w:rsid w:val="00BA4195"/>
    <w:rsid w:val="00BA4F1B"/>
    <w:rsid w:val="00BA60F2"/>
    <w:rsid w:val="00BA7843"/>
    <w:rsid w:val="00BB3D1A"/>
    <w:rsid w:val="00BD118C"/>
    <w:rsid w:val="00BD5556"/>
    <w:rsid w:val="00BE4BDF"/>
    <w:rsid w:val="00BE6460"/>
    <w:rsid w:val="00BF213A"/>
    <w:rsid w:val="00C07CF3"/>
    <w:rsid w:val="00C11547"/>
    <w:rsid w:val="00C267BE"/>
    <w:rsid w:val="00C30B66"/>
    <w:rsid w:val="00C325C8"/>
    <w:rsid w:val="00C37CAC"/>
    <w:rsid w:val="00C437AD"/>
    <w:rsid w:val="00C51EF7"/>
    <w:rsid w:val="00C651D0"/>
    <w:rsid w:val="00C72F03"/>
    <w:rsid w:val="00C763A0"/>
    <w:rsid w:val="00C97D2F"/>
    <w:rsid w:val="00CA459C"/>
    <w:rsid w:val="00CB11E7"/>
    <w:rsid w:val="00CB29E7"/>
    <w:rsid w:val="00CD13ED"/>
    <w:rsid w:val="00CD433B"/>
    <w:rsid w:val="00CD71A6"/>
    <w:rsid w:val="00D02A34"/>
    <w:rsid w:val="00D04060"/>
    <w:rsid w:val="00D10BC5"/>
    <w:rsid w:val="00D328AE"/>
    <w:rsid w:val="00D45616"/>
    <w:rsid w:val="00D519CB"/>
    <w:rsid w:val="00D54E42"/>
    <w:rsid w:val="00D61ECC"/>
    <w:rsid w:val="00D73097"/>
    <w:rsid w:val="00DB6163"/>
    <w:rsid w:val="00DC2CA2"/>
    <w:rsid w:val="00DC4B41"/>
    <w:rsid w:val="00DC7668"/>
    <w:rsid w:val="00DD3D60"/>
    <w:rsid w:val="00DF793E"/>
    <w:rsid w:val="00E01171"/>
    <w:rsid w:val="00E06635"/>
    <w:rsid w:val="00E12BFC"/>
    <w:rsid w:val="00E1419B"/>
    <w:rsid w:val="00E35387"/>
    <w:rsid w:val="00E55D34"/>
    <w:rsid w:val="00E64429"/>
    <w:rsid w:val="00E701E4"/>
    <w:rsid w:val="00E912E5"/>
    <w:rsid w:val="00E94140"/>
    <w:rsid w:val="00EC01A5"/>
    <w:rsid w:val="00EC06F1"/>
    <w:rsid w:val="00EE0BC2"/>
    <w:rsid w:val="00EF5068"/>
    <w:rsid w:val="00F1050B"/>
    <w:rsid w:val="00F16126"/>
    <w:rsid w:val="00F20DFF"/>
    <w:rsid w:val="00F27AD6"/>
    <w:rsid w:val="00F36142"/>
    <w:rsid w:val="00F3650A"/>
    <w:rsid w:val="00F6162D"/>
    <w:rsid w:val="00F64A98"/>
    <w:rsid w:val="00F73C3D"/>
    <w:rsid w:val="00F74939"/>
    <w:rsid w:val="00F8597C"/>
    <w:rsid w:val="00F872D3"/>
    <w:rsid w:val="00F8759E"/>
    <w:rsid w:val="00FA2371"/>
    <w:rsid w:val="00FB4B0C"/>
    <w:rsid w:val="00FD1033"/>
    <w:rsid w:val="00FE3E38"/>
    <w:rsid w:val="00FF6569"/>
    <w:rsid w:val="016D5D29"/>
    <w:rsid w:val="024E31BD"/>
    <w:rsid w:val="025C1B4A"/>
    <w:rsid w:val="04580A1A"/>
    <w:rsid w:val="045D34D3"/>
    <w:rsid w:val="0461592E"/>
    <w:rsid w:val="051214B4"/>
    <w:rsid w:val="06AB20CE"/>
    <w:rsid w:val="070D3849"/>
    <w:rsid w:val="07C90B71"/>
    <w:rsid w:val="08BD61C8"/>
    <w:rsid w:val="08FE5039"/>
    <w:rsid w:val="0A5058B9"/>
    <w:rsid w:val="0A936C5D"/>
    <w:rsid w:val="0B375294"/>
    <w:rsid w:val="0B602217"/>
    <w:rsid w:val="0B71230C"/>
    <w:rsid w:val="0B715836"/>
    <w:rsid w:val="0B727457"/>
    <w:rsid w:val="0CA06E61"/>
    <w:rsid w:val="0D607BF6"/>
    <w:rsid w:val="0D7F7F7A"/>
    <w:rsid w:val="0EC3267E"/>
    <w:rsid w:val="0EF625AC"/>
    <w:rsid w:val="0F8E1EB6"/>
    <w:rsid w:val="104977A5"/>
    <w:rsid w:val="10A90F6E"/>
    <w:rsid w:val="10C929EA"/>
    <w:rsid w:val="110E5584"/>
    <w:rsid w:val="11175BEC"/>
    <w:rsid w:val="11567FC8"/>
    <w:rsid w:val="1203745D"/>
    <w:rsid w:val="121D5CB7"/>
    <w:rsid w:val="124771F7"/>
    <w:rsid w:val="12C23A8A"/>
    <w:rsid w:val="131D0882"/>
    <w:rsid w:val="13812B6E"/>
    <w:rsid w:val="13ED3D8E"/>
    <w:rsid w:val="14626D50"/>
    <w:rsid w:val="14D71F79"/>
    <w:rsid w:val="15A51221"/>
    <w:rsid w:val="165D5A37"/>
    <w:rsid w:val="16AA5DAB"/>
    <w:rsid w:val="1729160C"/>
    <w:rsid w:val="1764269C"/>
    <w:rsid w:val="17EF2E07"/>
    <w:rsid w:val="17F751D0"/>
    <w:rsid w:val="197E6B2C"/>
    <w:rsid w:val="199913CD"/>
    <w:rsid w:val="1A0206F7"/>
    <w:rsid w:val="1A17656F"/>
    <w:rsid w:val="1A3F047F"/>
    <w:rsid w:val="1B265DE9"/>
    <w:rsid w:val="1BEE4DF7"/>
    <w:rsid w:val="1CF203D7"/>
    <w:rsid w:val="1EA74833"/>
    <w:rsid w:val="1EAB00AD"/>
    <w:rsid w:val="1FC34F60"/>
    <w:rsid w:val="203051E2"/>
    <w:rsid w:val="209F6F92"/>
    <w:rsid w:val="20DE4AD6"/>
    <w:rsid w:val="234E1B01"/>
    <w:rsid w:val="2355603E"/>
    <w:rsid w:val="23FB4E4C"/>
    <w:rsid w:val="24B90E75"/>
    <w:rsid w:val="255E20E6"/>
    <w:rsid w:val="266B0E73"/>
    <w:rsid w:val="271C53E5"/>
    <w:rsid w:val="277C51EB"/>
    <w:rsid w:val="282C43EC"/>
    <w:rsid w:val="295A3BC5"/>
    <w:rsid w:val="2988420A"/>
    <w:rsid w:val="2A906944"/>
    <w:rsid w:val="2B767387"/>
    <w:rsid w:val="2B8901EE"/>
    <w:rsid w:val="2BA20629"/>
    <w:rsid w:val="2BDF5376"/>
    <w:rsid w:val="2BE65013"/>
    <w:rsid w:val="2C524771"/>
    <w:rsid w:val="2C76725C"/>
    <w:rsid w:val="2C8A5E20"/>
    <w:rsid w:val="2DBB3E55"/>
    <w:rsid w:val="2ECC0432"/>
    <w:rsid w:val="2F240E9E"/>
    <w:rsid w:val="2F942867"/>
    <w:rsid w:val="304B4109"/>
    <w:rsid w:val="30A1695B"/>
    <w:rsid w:val="313E4C16"/>
    <w:rsid w:val="321B1B17"/>
    <w:rsid w:val="32865C79"/>
    <w:rsid w:val="32D15935"/>
    <w:rsid w:val="33DA255D"/>
    <w:rsid w:val="350A0182"/>
    <w:rsid w:val="35BD46C2"/>
    <w:rsid w:val="375138AA"/>
    <w:rsid w:val="37664FCF"/>
    <w:rsid w:val="37781D9D"/>
    <w:rsid w:val="388E0068"/>
    <w:rsid w:val="39F808A3"/>
    <w:rsid w:val="3A6C4F0A"/>
    <w:rsid w:val="3A8514C4"/>
    <w:rsid w:val="3AE23233"/>
    <w:rsid w:val="3B7333A1"/>
    <w:rsid w:val="3BC10E30"/>
    <w:rsid w:val="3C293B1F"/>
    <w:rsid w:val="3C3D73B9"/>
    <w:rsid w:val="3E866B71"/>
    <w:rsid w:val="3EE96E87"/>
    <w:rsid w:val="3F30371B"/>
    <w:rsid w:val="40AF644D"/>
    <w:rsid w:val="42971F85"/>
    <w:rsid w:val="42E854F8"/>
    <w:rsid w:val="43EF5F40"/>
    <w:rsid w:val="44733FB6"/>
    <w:rsid w:val="44BB4440"/>
    <w:rsid w:val="44F366BA"/>
    <w:rsid w:val="44F52E34"/>
    <w:rsid w:val="456C7AE2"/>
    <w:rsid w:val="457708E0"/>
    <w:rsid w:val="45ED611E"/>
    <w:rsid w:val="4647240E"/>
    <w:rsid w:val="464C76CF"/>
    <w:rsid w:val="46AE72BC"/>
    <w:rsid w:val="46BD2650"/>
    <w:rsid w:val="47D755E4"/>
    <w:rsid w:val="47FC538D"/>
    <w:rsid w:val="486115DC"/>
    <w:rsid w:val="4886701B"/>
    <w:rsid w:val="48993612"/>
    <w:rsid w:val="48B86E14"/>
    <w:rsid w:val="49265DF6"/>
    <w:rsid w:val="49D025CA"/>
    <w:rsid w:val="4A04393F"/>
    <w:rsid w:val="4B470073"/>
    <w:rsid w:val="4B4C47AA"/>
    <w:rsid w:val="4BE95B17"/>
    <w:rsid w:val="4DE621FB"/>
    <w:rsid w:val="4DF16F1E"/>
    <w:rsid w:val="4E9F2A08"/>
    <w:rsid w:val="4E9F772E"/>
    <w:rsid w:val="4ED332E9"/>
    <w:rsid w:val="4EFB231F"/>
    <w:rsid w:val="4FA77313"/>
    <w:rsid w:val="5001384B"/>
    <w:rsid w:val="50086768"/>
    <w:rsid w:val="509938A8"/>
    <w:rsid w:val="50B055A1"/>
    <w:rsid w:val="510D1FCC"/>
    <w:rsid w:val="525A3635"/>
    <w:rsid w:val="52A51BA5"/>
    <w:rsid w:val="536F2255"/>
    <w:rsid w:val="539C2AB0"/>
    <w:rsid w:val="53D04C0D"/>
    <w:rsid w:val="53FD6011"/>
    <w:rsid w:val="54E43134"/>
    <w:rsid w:val="555E5F94"/>
    <w:rsid w:val="56553771"/>
    <w:rsid w:val="56D96EA8"/>
    <w:rsid w:val="573371E1"/>
    <w:rsid w:val="57AC218E"/>
    <w:rsid w:val="58453CFE"/>
    <w:rsid w:val="58E757B0"/>
    <w:rsid w:val="59173250"/>
    <w:rsid w:val="5A607655"/>
    <w:rsid w:val="5B2F62E3"/>
    <w:rsid w:val="5C5C7EB7"/>
    <w:rsid w:val="5C9F389C"/>
    <w:rsid w:val="5CA64CA6"/>
    <w:rsid w:val="5E4E342D"/>
    <w:rsid w:val="5F0A61D2"/>
    <w:rsid w:val="5F81511B"/>
    <w:rsid w:val="5F831F7B"/>
    <w:rsid w:val="5F88496B"/>
    <w:rsid w:val="60C62535"/>
    <w:rsid w:val="61113C00"/>
    <w:rsid w:val="616D36A3"/>
    <w:rsid w:val="624E6F8F"/>
    <w:rsid w:val="625E62A9"/>
    <w:rsid w:val="628D1ACF"/>
    <w:rsid w:val="62981A01"/>
    <w:rsid w:val="630F5067"/>
    <w:rsid w:val="632958C1"/>
    <w:rsid w:val="63E366DC"/>
    <w:rsid w:val="644C5EDB"/>
    <w:rsid w:val="646C2D7C"/>
    <w:rsid w:val="650B3D26"/>
    <w:rsid w:val="65116386"/>
    <w:rsid w:val="65D42165"/>
    <w:rsid w:val="66642AA7"/>
    <w:rsid w:val="67D52A51"/>
    <w:rsid w:val="680944DF"/>
    <w:rsid w:val="6845513F"/>
    <w:rsid w:val="68483E44"/>
    <w:rsid w:val="68DB5336"/>
    <w:rsid w:val="6952022C"/>
    <w:rsid w:val="699E7D03"/>
    <w:rsid w:val="69CC7DEF"/>
    <w:rsid w:val="69E878A1"/>
    <w:rsid w:val="69F301ED"/>
    <w:rsid w:val="6AAE10E5"/>
    <w:rsid w:val="6B8C3DEB"/>
    <w:rsid w:val="6BBD684A"/>
    <w:rsid w:val="6C4C3EAD"/>
    <w:rsid w:val="6C4E728F"/>
    <w:rsid w:val="6CB3063E"/>
    <w:rsid w:val="6D042B84"/>
    <w:rsid w:val="6DB50CB8"/>
    <w:rsid w:val="6E023CD0"/>
    <w:rsid w:val="6E1E580E"/>
    <w:rsid w:val="6E663044"/>
    <w:rsid w:val="6F033D94"/>
    <w:rsid w:val="6F735359"/>
    <w:rsid w:val="70024036"/>
    <w:rsid w:val="70472F55"/>
    <w:rsid w:val="715D0027"/>
    <w:rsid w:val="719C02F0"/>
    <w:rsid w:val="722550A8"/>
    <w:rsid w:val="73B52AC6"/>
    <w:rsid w:val="73B92092"/>
    <w:rsid w:val="73BA5392"/>
    <w:rsid w:val="74904B1A"/>
    <w:rsid w:val="74DC4BB1"/>
    <w:rsid w:val="75237E26"/>
    <w:rsid w:val="754018BF"/>
    <w:rsid w:val="759722FF"/>
    <w:rsid w:val="75E14921"/>
    <w:rsid w:val="77A007AB"/>
    <w:rsid w:val="78284345"/>
    <w:rsid w:val="79222720"/>
    <w:rsid w:val="79D51B27"/>
    <w:rsid w:val="79F56707"/>
    <w:rsid w:val="7A64293C"/>
    <w:rsid w:val="7B0D396E"/>
    <w:rsid w:val="7B5F2E59"/>
    <w:rsid w:val="7B891A08"/>
    <w:rsid w:val="7D1E6A9F"/>
    <w:rsid w:val="7DC17407"/>
    <w:rsid w:val="7E9222F7"/>
    <w:rsid w:val="7EDD5A9A"/>
    <w:rsid w:val="7F76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tLeast"/>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rPr>
      <w:sz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1 Char"/>
    <w:basedOn w:val="7"/>
    <w:link w:val="2"/>
    <w:qFormat/>
    <w:uiPriority w:val="9"/>
    <w:rPr>
      <w:b/>
      <w:bCs/>
      <w:kern w:val="44"/>
      <w:sz w:val="44"/>
      <w:szCs w:val="44"/>
    </w:rPr>
  </w:style>
  <w:style w:type="paragraph" w:styleId="12">
    <w:name w:val="List Paragraph"/>
    <w:basedOn w:val="1"/>
    <w:qFormat/>
    <w:uiPriority w:val="99"/>
    <w:pPr>
      <w:widowControl w:val="0"/>
      <w:spacing w:line="240" w:lineRule="auto"/>
      <w:ind w:firstLine="42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79EC-75E1-4D4B-B736-9E6434F3DA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8635</Words>
  <Characters>9517</Characters>
  <Lines>254</Lines>
  <Paragraphs>271</Paragraphs>
  <TotalTime>103</TotalTime>
  <ScaleCrop>false</ScaleCrop>
  <LinksUpToDate>false</LinksUpToDate>
  <CharactersWithSpaces>9539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2020-10-06T05:31:00Z</dcterms:created>
  <dc:creator>Marbor</dc:creator>
  <cp:lastModifiedBy>sifang</cp:lastModifiedBy>
  <dcterms:modified xsi:type="dcterms:W3CDTF">2024-12-27T09:09:17Z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F30FEDE375654835B356065707C593F3</vt:lpwstr>
  </property>
</Properties>
</file>