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837C2">
      <w:pPr>
        <w:snapToGrid w:val="0"/>
        <w:spacing w:line="600" w:lineRule="atLeast"/>
        <w:rPr>
          <w:rFonts w:hint="eastAsia"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2</w:t>
      </w:r>
    </w:p>
    <w:p w14:paraId="6B5A3497">
      <w:pPr>
        <w:snapToGrid w:val="0"/>
        <w:spacing w:line="600" w:lineRule="atLeast"/>
        <w:rPr>
          <w:rFonts w:hint="eastAsia" w:ascii="Times New Roman" w:hAnsi="Times New Roman" w:eastAsia="方正黑体_GBK" w:cs="Times New Roman"/>
          <w:sz w:val="32"/>
          <w:szCs w:val="32"/>
          <w:lang w:val="en-US" w:eastAsia="zh-CN"/>
        </w:rPr>
      </w:pPr>
    </w:p>
    <w:p w14:paraId="71E85A3C">
      <w:pPr>
        <w:snapToGrid w:val="0"/>
        <w:spacing w:line="600" w:lineRule="atLeast"/>
        <w:jc w:val="center"/>
        <w:rPr>
          <w:rFonts w:ascii="Times New Roman" w:hAnsi="Times New Roman" w:eastAsia="方正小标宋_GBK" w:cs="Times New Roman"/>
          <w:w w:val="95"/>
          <w:sz w:val="44"/>
          <w:szCs w:val="44"/>
        </w:rPr>
      </w:pPr>
      <w:r>
        <w:rPr>
          <w:rFonts w:ascii="Times New Roman" w:hAnsi="Times New Roman" w:eastAsia="方正小标宋_GBK" w:cs="Times New Roman"/>
          <w:w w:val="95"/>
          <w:sz w:val="44"/>
          <w:szCs w:val="44"/>
        </w:rPr>
        <w:t>202</w:t>
      </w:r>
      <w:r>
        <w:rPr>
          <w:rFonts w:hint="eastAsia" w:ascii="Times New Roman" w:hAnsi="Times New Roman" w:eastAsia="方正小标宋_GBK" w:cs="Times New Roman"/>
          <w:w w:val="95"/>
          <w:sz w:val="44"/>
          <w:szCs w:val="44"/>
        </w:rPr>
        <w:t>5</w:t>
      </w:r>
      <w:r>
        <w:rPr>
          <w:rFonts w:ascii="Times New Roman" w:hAnsi="Times New Roman" w:eastAsia="方正小标宋_GBK" w:cs="Times New Roman"/>
          <w:w w:val="95"/>
          <w:sz w:val="44"/>
          <w:szCs w:val="44"/>
        </w:rPr>
        <w:t>年重庆市科技传播与普及项目申报指南</w:t>
      </w:r>
    </w:p>
    <w:p w14:paraId="5CE04408">
      <w:pPr>
        <w:snapToGrid w:val="0"/>
        <w:spacing w:line="600" w:lineRule="atLeast"/>
        <w:rPr>
          <w:rFonts w:ascii="Times New Roman" w:hAnsi="Times New Roman" w:eastAsia="仿宋_GB2312" w:cs="Times New Roman"/>
          <w:sz w:val="32"/>
          <w:szCs w:val="32"/>
          <w:shd w:val="clear" w:color="auto" w:fill="FFFFFF"/>
        </w:rPr>
      </w:pPr>
    </w:p>
    <w:p w14:paraId="69A591D1">
      <w:pPr>
        <w:spacing w:line="600" w:lineRule="atLeas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一、科普活动</w:t>
      </w:r>
      <w:r>
        <w:rPr>
          <w:rFonts w:hint="eastAsia" w:ascii="Times New Roman" w:hAnsi="Times New Roman" w:eastAsia="方正黑体_GBK" w:cs="Times New Roman"/>
          <w:sz w:val="32"/>
          <w:szCs w:val="32"/>
        </w:rPr>
        <w:t>类</w:t>
      </w:r>
    </w:p>
    <w:p w14:paraId="738F84D7">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支持</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至2025年</w:t>
      </w:r>
      <w:r>
        <w:rPr>
          <w:rFonts w:hint="eastAsia" w:ascii="Times New Roman" w:hAnsi="Times New Roman" w:eastAsia="方正仿宋_GBK"/>
          <w:sz w:val="32"/>
          <w:szCs w:val="32"/>
          <w:shd w:val="clear" w:color="auto" w:fill="FFFFFF"/>
        </w:rPr>
        <w:t>6月15日</w:t>
      </w:r>
      <w:r>
        <w:rPr>
          <w:rFonts w:hint="eastAsia" w:ascii="Times New Roman" w:hAnsi="Times New Roman" w:eastAsia="方正仿宋_GBK" w:cs="Times New Roman"/>
          <w:sz w:val="32"/>
          <w:szCs w:val="32"/>
        </w:rPr>
        <w:t>期间，围绕公众科普需求和社会关注热点，已组织实施的或拟策划开展的具有一定覆盖面、影响力和社会效益的科普展览展示、竞赛、论坛、交流合作等活动。考核指标以既有和预期的活动内容、活动规模、活动效果等为主。</w:t>
      </w:r>
    </w:p>
    <w:p w14:paraId="5D065B24">
      <w:pPr>
        <w:spacing w:line="600" w:lineRule="atLeas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（一）基本要求</w:t>
      </w:r>
    </w:p>
    <w:p w14:paraId="236988F1">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1．应具备科学性、趣味性、互动性且形式新颖。</w:t>
      </w:r>
    </w:p>
    <w:p w14:paraId="52E0025A">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2．在相应区域或领域有较强的影响力，受众广泛。</w:t>
      </w:r>
    </w:p>
    <w:p w14:paraId="360A9984">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3．活动应当通过多种媒体渠道进行广泛传播。</w:t>
      </w:r>
    </w:p>
    <w:p w14:paraId="7F60F6C3">
      <w:pPr>
        <w:spacing w:line="600" w:lineRule="atLeas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（二）资助类别</w:t>
      </w:r>
    </w:p>
    <w:p w14:paraId="48657559">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支持申报一般项目或重点项目，重点项目原则支持政府部门组织的科普活动。一般项目财政补助标准不超过10万元，重点项目财政补助标准不超过30万元。</w:t>
      </w:r>
    </w:p>
    <w:p w14:paraId="10F1CCD1">
      <w:pPr>
        <w:spacing w:line="600" w:lineRule="atLeas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三</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支持方向</w:t>
      </w:r>
    </w:p>
    <w:p w14:paraId="431AC4B4">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1．示范科普活动。纳入202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年全市科技活动周总体安排或</w:t>
      </w:r>
      <w:r>
        <w:rPr>
          <w:rFonts w:hint="eastAsia" w:ascii="Times New Roman" w:hAnsi="Times New Roman" w:eastAsia="方正仿宋_GBK" w:cs="Times New Roman"/>
          <w:sz w:val="32"/>
          <w:szCs w:val="32"/>
        </w:rPr>
        <w:t>其他</w:t>
      </w:r>
      <w:r>
        <w:rPr>
          <w:rFonts w:ascii="Times New Roman" w:hAnsi="Times New Roman" w:eastAsia="方正仿宋_GBK" w:cs="Times New Roman"/>
          <w:sz w:val="32"/>
          <w:szCs w:val="32"/>
        </w:rPr>
        <w:t>具有全市范围影响力的重点示范科普活动。</w:t>
      </w:r>
      <w:r>
        <w:rPr>
          <w:rFonts w:hint="eastAsia" w:ascii="Times New Roman" w:hAnsi="Times New Roman" w:eastAsia="方正仿宋_GBK" w:cs="Times New Roman"/>
          <w:sz w:val="32"/>
          <w:szCs w:val="32"/>
        </w:rPr>
        <w:t>参照科技部等国家部委的有关活动组织开展的科普讲解大赛、科普微视频评选活动等科普活动。</w:t>
      </w:r>
      <w:r>
        <w:rPr>
          <w:rFonts w:ascii="Times New Roman" w:hAnsi="Times New Roman" w:eastAsia="方正仿宋_GBK" w:cs="Times New Roman"/>
          <w:sz w:val="32"/>
          <w:szCs w:val="32"/>
        </w:rPr>
        <w:t>活动应当整合区县、市级部门、科普基地、媒体等多方科普资源，覆盖相关区域或行业领域，并在市级以上新闻媒体预告或宣传报道，宣传效果显著。</w:t>
      </w:r>
    </w:p>
    <w:p w14:paraId="436775A5">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2．特色科普活动。聚焦</w:t>
      </w:r>
      <w:r>
        <w:rPr>
          <w:rFonts w:hint="eastAsia" w:ascii="Times New Roman" w:hAnsi="Times New Roman" w:eastAsia="方正仿宋_GBK" w:cs="Times New Roman"/>
          <w:sz w:val="32"/>
          <w:szCs w:val="32"/>
        </w:rPr>
        <w:t>生命健康、人工智能、科学教育、智慧农业、公共安全、防灾减灾、生态保护与修复</w:t>
      </w:r>
      <w:r>
        <w:rPr>
          <w:rFonts w:ascii="Times New Roman" w:hAnsi="Times New Roman" w:eastAsia="方正仿宋_GBK" w:cs="Times New Roman"/>
          <w:sz w:val="32"/>
          <w:szCs w:val="32"/>
        </w:rPr>
        <w:t>等特定领域或针对特定群体策划的特色主题科普活动。活动通过区县级以上媒体宣传报道，有较为广泛的知晓度。</w:t>
      </w:r>
    </w:p>
    <w:p w14:paraId="68F26F81">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3．区县科技活动周科普活动。针对基层科普需求，区县科技行政主管部门牵头开展的符合区域特点的科普展览、科技竞赛、科普讲座、技能培训、讲解大赛、科技下乡等线上线下主题活动。</w:t>
      </w:r>
    </w:p>
    <w:p w14:paraId="482DF446">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4．青少年</w:t>
      </w:r>
      <w:r>
        <w:rPr>
          <w:rFonts w:hint="eastAsia" w:ascii="Times New Roman" w:hAnsi="Times New Roman" w:eastAsia="方正仿宋_GBK" w:cs="Times New Roman"/>
          <w:sz w:val="32"/>
          <w:szCs w:val="32"/>
        </w:rPr>
        <w:t>等特定人群的</w:t>
      </w:r>
      <w:r>
        <w:rPr>
          <w:rFonts w:ascii="Times New Roman" w:hAnsi="Times New Roman" w:eastAsia="方正仿宋_GBK" w:cs="Times New Roman"/>
          <w:sz w:val="32"/>
          <w:szCs w:val="32"/>
        </w:rPr>
        <w:t>科普活动。</w:t>
      </w:r>
      <w:r>
        <w:rPr>
          <w:rFonts w:hint="eastAsia" w:ascii="Times New Roman" w:hAnsi="Times New Roman" w:eastAsia="方正仿宋_GBK" w:cs="Times New Roman"/>
          <w:sz w:val="32"/>
          <w:szCs w:val="32"/>
        </w:rPr>
        <w:t>如</w:t>
      </w:r>
      <w:r>
        <w:rPr>
          <w:rFonts w:ascii="Times New Roman" w:hAnsi="Times New Roman" w:eastAsia="方正仿宋_GBK" w:cs="Times New Roman"/>
          <w:sz w:val="32"/>
          <w:szCs w:val="32"/>
        </w:rPr>
        <w:t>以培育学生创新精神、拓展创新思维、提升创新能力为重点，整合利用科普资源成体系的科学课程、科普讲座、科技竞赛、科普剧、科学实验等特色活动。</w:t>
      </w:r>
    </w:p>
    <w:p w14:paraId="404AA8B9">
      <w:pPr>
        <w:spacing w:line="600" w:lineRule="atLeas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二、科普作品（产品）</w:t>
      </w:r>
      <w:r>
        <w:rPr>
          <w:rFonts w:hint="eastAsia" w:ascii="Times New Roman" w:hAnsi="Times New Roman" w:eastAsia="方正黑体_GBK" w:cs="Times New Roman"/>
          <w:sz w:val="32"/>
          <w:szCs w:val="32"/>
        </w:rPr>
        <w:t>类</w:t>
      </w:r>
    </w:p>
    <w:p w14:paraId="5C8E665C">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支持</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年1月1日以来</w:t>
      </w:r>
      <w:r>
        <w:rPr>
          <w:rFonts w:hint="eastAsia" w:ascii="Times New Roman" w:hAnsi="Times New Roman" w:eastAsia="方正仿宋_GBK" w:cs="Times New Roman"/>
          <w:sz w:val="32"/>
          <w:szCs w:val="32"/>
        </w:rPr>
        <w:t>围绕推动科普市场化、产业化发展，创作出版的科普图书、科普影视作品，开发推广的科普课程、科普展教品、科普剧、数字化科普平台等。考核指标以科普作品（产品）既有和预期的社会效益、经济效益等为主。</w:t>
      </w:r>
    </w:p>
    <w:p w14:paraId="3941A853">
      <w:pPr>
        <w:spacing w:line="600" w:lineRule="atLeas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 xml:space="preserve">（一）基本要求 </w:t>
      </w:r>
    </w:p>
    <w:p w14:paraId="6C8AD4B5">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1．具有原创性、科学性、思想性和启发性，做到概念清晰、逻辑严谨、导向正确。</w:t>
      </w:r>
    </w:p>
    <w:p w14:paraId="4C97EDC2">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2．内容应兼具知识性、艺术性、趣味性，科学知识、科学原理表示客观准确且通俗易懂。</w:t>
      </w:r>
    </w:p>
    <w:p w14:paraId="7F98E4B9">
      <w:pPr>
        <w:spacing w:line="60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3．作品（产品）不涉及任何侵犯第三方合法权益的情形，普及推广具有较好的社会效益或经济效益。</w:t>
      </w:r>
    </w:p>
    <w:p w14:paraId="7AA8C03A">
      <w:pPr>
        <w:spacing w:line="600" w:lineRule="atLeas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（二）资助类别</w:t>
      </w:r>
    </w:p>
    <w:p w14:paraId="7DBEB34F">
      <w:pPr>
        <w:spacing w:line="600" w:lineRule="atLeas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只支持申报一般项目，财政补助标准不超过5万元。优先支持获得2024年重庆科普微视频评选一等奖和二等奖以及2024年重庆市优秀科普作品。</w:t>
      </w:r>
    </w:p>
    <w:p w14:paraId="13589980">
      <w:pPr>
        <w:spacing w:line="600" w:lineRule="atLeas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三</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支持方向</w:t>
      </w:r>
    </w:p>
    <w:p w14:paraId="55AEFE28">
      <w:pPr>
        <w:pStyle w:val="6"/>
        <w:shd w:val="clear" w:color="auto" w:fill="FFFFFF"/>
        <w:spacing w:beforeAutospacing="0" w:afterAutospacing="0" w:line="600" w:lineRule="atLeas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1</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科普图书。主要支持自然科学领域创作的科学普及图书。包括为启发青少年科学智慧创作的青少年科学普及图书，为让公众普遍掌握防灾减灾、公共安全、卫生健康、节约能源资源、保护生态环境等科学知识创作的科普图书，针对重大科学发现和科学进展开展解疑释惑和科学传播而创作的科普图书。202</w:t>
      </w:r>
      <w:r>
        <w:rPr>
          <w:rFonts w:hint="eastAsia" w:ascii="Times New Roman" w:hAnsi="Times New Roman" w:eastAsia="方正仿宋_GBK"/>
          <w:sz w:val="32"/>
          <w:szCs w:val="32"/>
          <w:shd w:val="clear" w:color="auto" w:fill="FFFFFF"/>
        </w:rPr>
        <w:t>4</w:t>
      </w:r>
      <w:r>
        <w:rPr>
          <w:rFonts w:ascii="Times New Roman" w:hAnsi="Times New Roman" w:eastAsia="方正仿宋_GBK"/>
          <w:sz w:val="32"/>
          <w:szCs w:val="32"/>
          <w:shd w:val="clear" w:color="auto" w:fill="FFFFFF"/>
        </w:rPr>
        <w:t>年1月1日后出版发行的原创科普图书（含国外优秀科普图书的翻译出版）。发行量不低于5000册（套）。</w:t>
      </w:r>
    </w:p>
    <w:p w14:paraId="16B92121">
      <w:pPr>
        <w:pStyle w:val="6"/>
        <w:shd w:val="clear" w:color="auto" w:fill="FFFFFF"/>
        <w:spacing w:beforeAutospacing="0" w:afterAutospacing="0" w:line="600" w:lineRule="atLeas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科普课程。培养问题意识、创新意识、实践能力、科学精神，以及情感态度和价值观的探究型课程。鼓励运用技术手段创新课程设计，注重线上教学与实践运用相结合，突出开放性、实践性、综合性和生成性。课程时长不低于5个课时，每课时不低于20分钟。内容包括课件、教案、材料包、评估体系等。项目成果应当区县级以上媒体或项目承担单位自媒体等平台进行宣传。</w:t>
      </w:r>
    </w:p>
    <w:p w14:paraId="16433C5E">
      <w:pPr>
        <w:pStyle w:val="6"/>
        <w:shd w:val="clear" w:color="auto" w:fill="FFFFFF"/>
        <w:spacing w:beforeAutospacing="0" w:afterAutospacing="0" w:line="600" w:lineRule="atLeas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3</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科普影视作品。主要支持自然科学领域原创科普电影（3D、4D、穹幕电影、网络电影等）、科普影视节目（电视剧、专题片、纪录片）、科普微视频和科普动漫等。作品数量不少于5条，单个作品时长不低于5分钟（科普微视频为2~5分钟）。作品应在电视台、国内主流网络平台、主要科普类网站、具有广泛影响的专业网站播出过，每条作品的累计浏览量不低于2万次。</w:t>
      </w:r>
    </w:p>
    <w:p w14:paraId="6691621D">
      <w:pPr>
        <w:pStyle w:val="6"/>
        <w:shd w:val="clear" w:color="auto" w:fill="FFFFFF"/>
        <w:spacing w:beforeAutospacing="0" w:afterAutospacing="0" w:line="600" w:lineRule="atLeas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4</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科学实验展演。有鲜明的科学主题，围绕物理、化学、生物等学科领域开展的科学实验、科普剧目。注重传播科学思想、科学知识或传授科学方法，正确反映自然、科技与人类的关系，展示科技未来发展的前景。展现形式不限于科学表演、科普剧等，可一人或多人演示，应将科学实验的教育元素与互动表演的趣味元素结合。编排的科学实验数量不少于3个，</w:t>
      </w:r>
      <w:r>
        <w:rPr>
          <w:rFonts w:hint="eastAsia" w:ascii="Times New Roman" w:hAnsi="Times New Roman" w:eastAsia="方正仿宋_GBK"/>
          <w:sz w:val="32"/>
          <w:szCs w:val="32"/>
          <w:shd w:val="clear" w:color="auto" w:fill="FFFFFF"/>
        </w:rPr>
        <w:t>原则上</w:t>
      </w:r>
      <w:r>
        <w:rPr>
          <w:rFonts w:ascii="Times New Roman" w:hAnsi="Times New Roman" w:eastAsia="方正仿宋_GBK"/>
          <w:sz w:val="32"/>
          <w:szCs w:val="32"/>
          <w:shd w:val="clear" w:color="auto" w:fill="FFFFFF"/>
        </w:rPr>
        <w:t>每个科学实验的时长不超过6分钟。线下展演不少于10场次，受众不少于1000人。需开展线上推广（视频或直播），线上推广（累计网络点击量）不低于2万次。</w:t>
      </w:r>
    </w:p>
    <w:p w14:paraId="3DEC6710">
      <w:pPr>
        <w:pStyle w:val="6"/>
        <w:shd w:val="clear" w:color="auto" w:fill="FFFFFF"/>
        <w:spacing w:beforeAutospacing="0" w:afterAutospacing="0" w:line="600" w:lineRule="atLeast"/>
        <w:ind w:firstLine="640" w:firstLineChars="200"/>
        <w:jc w:val="both"/>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5</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科普创新产品与服务。将科学技术知识、科技创新成果转化为科普创新产品与服务，包括单件/成套科普体验设备、科学实验材料包、科普文创产品等。支持研发和生产具有传播科学知识内容的不同产业、领域或学科特色的学习用品、互动产品、APP、软件等科普创新产品，应用新产品新技术和现代技术手段，提高科普组织能力和科学传播能力。科普创新产品应当实现一定的经济社会效益，创建的科普宣传载体能够面向社会提供公益科普服务。</w:t>
      </w:r>
    </w:p>
    <w:p w14:paraId="7535BE81">
      <w:pPr>
        <w:pStyle w:val="6"/>
        <w:shd w:val="clear" w:color="auto" w:fill="FFFFFF"/>
        <w:spacing w:beforeAutospacing="0" w:afterAutospacing="0" w:line="600" w:lineRule="atLeast"/>
        <w:ind w:firstLine="640" w:firstLineChars="200"/>
        <w:jc w:val="both"/>
        <w:rPr>
          <w:rFonts w:hint="eastAsia"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6.定向支持科学家精神获奖短视频。主要支持2024年“弘扬科学家精神、加强作风学风建设”短视频大赛一、二等奖获奖作品，数量不超过25个。</w:t>
      </w:r>
      <w:bookmarkStart w:id="0" w:name="_GoBack"/>
      <w:bookmarkEnd w:id="0"/>
    </w:p>
    <w:sectPr>
      <w:footerReference r:id="rId3" w:type="default"/>
      <w:footerReference r:id="rId4" w:type="even"/>
      <w:pgSz w:w="11906" w:h="16838"/>
      <w:pgMar w:top="2098" w:right="1474" w:bottom="175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06824CDB-ADF4-46D5-8B56-B890E3C17D7C}"/>
  </w:font>
  <w:font w:name="方正黑体_GBK">
    <w:panose1 w:val="03000509000000000000"/>
    <w:charset w:val="86"/>
    <w:family w:val="script"/>
    <w:pitch w:val="default"/>
    <w:sig w:usb0="00000001" w:usb1="080E0000" w:usb2="00000000" w:usb3="00000000" w:csb0="00040000" w:csb1="00000000"/>
    <w:embedRegular r:id="rId2" w:fontKey="{44DFD384-8B2C-448C-8DDE-CC15818A9862}"/>
  </w:font>
  <w:font w:name="方正小标宋_GBK">
    <w:panose1 w:val="02000000000000000000"/>
    <w:charset w:val="86"/>
    <w:family w:val="script"/>
    <w:pitch w:val="default"/>
    <w:sig w:usb0="A00002BF" w:usb1="38CF7CFA" w:usb2="00082016" w:usb3="00000000" w:csb0="00040001" w:csb1="00000000"/>
    <w:embedRegular r:id="rId3" w:fontKey="{2048C668-2E8B-4405-8023-2DB9A30259F7}"/>
  </w:font>
  <w:font w:name="仿宋_GB2312">
    <w:altName w:val="仿宋"/>
    <w:panose1 w:val="00000000000000000000"/>
    <w:charset w:val="86"/>
    <w:family w:val="roman"/>
    <w:pitch w:val="default"/>
    <w:sig w:usb0="00000000" w:usb1="00000000" w:usb2="00000000" w:usb3="00000000" w:csb0="00040000" w:csb1="00000000"/>
    <w:embedRegular r:id="rId4" w:fontKey="{3DE214D7-3653-4FE2-991E-04FF0C07958F}"/>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script"/>
    <w:pitch w:val="default"/>
    <w:sig w:usb0="800002BF" w:usb1="38CF7CFA" w:usb2="00000016" w:usb3="00000000" w:csb0="00040000" w:csb1="00000000"/>
    <w:embedRegular r:id="rId5" w:fontKey="{1D3FB714-ABFA-483F-B5E4-5B063F141D45}"/>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7BC0E">
    <w:pPr>
      <w:pStyle w:val="4"/>
      <w:jc w:val="center"/>
    </w:pPr>
    <w:r>
      <w:fldChar w:fldCharType="begin"/>
    </w:r>
    <w:r>
      <w:instrText xml:space="preserve">PAGE   \* MERGEFORMAT</w:instrText>
    </w:r>
    <w:r>
      <w:fldChar w:fldCharType="separate"/>
    </w:r>
    <w:r>
      <w:rPr>
        <w:lang w:val="zh-CN"/>
      </w:rPr>
      <w:t>-</w:t>
    </w:r>
    <w:r>
      <w:t xml:space="preserve"> 13 -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D6414">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- 8 -</w:t>
    </w:r>
    <w:r>
      <w:rPr>
        <w:rStyle w:val="10"/>
      </w:rPr>
      <w:fldChar w:fldCharType="end"/>
    </w:r>
  </w:p>
  <w:p w14:paraId="66BF1C64">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ODQ1MTc4M2U3NzE3YzIxZjczZWNhN2E1MmJiNmIifQ=="/>
  </w:docVars>
  <w:rsids>
    <w:rsidRoot w:val="005C1474"/>
    <w:rsid w:val="000239D1"/>
    <w:rsid w:val="00036A55"/>
    <w:rsid w:val="000A6E6A"/>
    <w:rsid w:val="000D7A2A"/>
    <w:rsid w:val="00123E1A"/>
    <w:rsid w:val="00155271"/>
    <w:rsid w:val="00162C0F"/>
    <w:rsid w:val="002365CA"/>
    <w:rsid w:val="003864B4"/>
    <w:rsid w:val="0039688C"/>
    <w:rsid w:val="00477DD4"/>
    <w:rsid w:val="005626B9"/>
    <w:rsid w:val="005C1474"/>
    <w:rsid w:val="005E3523"/>
    <w:rsid w:val="006C6DCC"/>
    <w:rsid w:val="006D1B63"/>
    <w:rsid w:val="007F44C9"/>
    <w:rsid w:val="00812BA2"/>
    <w:rsid w:val="00816FE6"/>
    <w:rsid w:val="0082024F"/>
    <w:rsid w:val="008605A8"/>
    <w:rsid w:val="008771C6"/>
    <w:rsid w:val="00893C96"/>
    <w:rsid w:val="008B08F1"/>
    <w:rsid w:val="008D724A"/>
    <w:rsid w:val="00927049"/>
    <w:rsid w:val="009E6564"/>
    <w:rsid w:val="00A2551D"/>
    <w:rsid w:val="00A468CC"/>
    <w:rsid w:val="00A93BC0"/>
    <w:rsid w:val="00AF24EB"/>
    <w:rsid w:val="00AF6BDA"/>
    <w:rsid w:val="00B1012D"/>
    <w:rsid w:val="00B25242"/>
    <w:rsid w:val="00B366DB"/>
    <w:rsid w:val="00B43BCC"/>
    <w:rsid w:val="00B6671E"/>
    <w:rsid w:val="00B91F2D"/>
    <w:rsid w:val="00C32A3C"/>
    <w:rsid w:val="00C77703"/>
    <w:rsid w:val="00DA2514"/>
    <w:rsid w:val="00DC466B"/>
    <w:rsid w:val="00E64EC1"/>
    <w:rsid w:val="00E77F5F"/>
    <w:rsid w:val="00F56DA8"/>
    <w:rsid w:val="00FD2128"/>
    <w:rsid w:val="025E787F"/>
    <w:rsid w:val="06D2400F"/>
    <w:rsid w:val="08CE121A"/>
    <w:rsid w:val="12916A72"/>
    <w:rsid w:val="1B6A3B22"/>
    <w:rsid w:val="1BE677E0"/>
    <w:rsid w:val="21E678F0"/>
    <w:rsid w:val="2394048D"/>
    <w:rsid w:val="25436548"/>
    <w:rsid w:val="2B693406"/>
    <w:rsid w:val="37A159D2"/>
    <w:rsid w:val="3918097A"/>
    <w:rsid w:val="4E704CB8"/>
    <w:rsid w:val="50FD14C0"/>
    <w:rsid w:val="53583BB4"/>
    <w:rsid w:val="5C9C05B9"/>
    <w:rsid w:val="63992747"/>
    <w:rsid w:val="64FC1D27"/>
    <w:rsid w:val="67852B41"/>
    <w:rsid w:val="67E53CC7"/>
    <w:rsid w:val="6CCC6B35"/>
    <w:rsid w:val="6F7552AF"/>
    <w:rsid w:val="729922E2"/>
    <w:rsid w:val="77A56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6"/>
    <w:unhideWhenUsed/>
    <w:qFormat/>
    <w:uiPriority w:val="99"/>
    <w:pPr>
      <w:spacing w:after="120"/>
    </w:pPr>
    <w:rPr>
      <w:rFonts w:cs="Times New Roman"/>
    </w:rPr>
  </w:style>
  <w:style w:type="paragraph" w:styleId="3">
    <w:name w:val="Balloon Text"/>
    <w:basedOn w:val="1"/>
    <w:link w:val="14"/>
    <w:qFormat/>
    <w:uiPriority w:val="99"/>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563C1"/>
      <w:u w:val="single"/>
    </w:rPr>
  </w:style>
  <w:style w:type="character" w:customStyle="1" w:styleId="12">
    <w:name w:val="页眉 Char"/>
    <w:basedOn w:val="8"/>
    <w:link w:val="5"/>
    <w:qFormat/>
    <w:uiPriority w:val="99"/>
    <w:rPr>
      <w:rFonts w:ascii="Calibri" w:hAnsi="Calibri" w:eastAsia="宋体" w:cs="宋体"/>
      <w:kern w:val="2"/>
      <w:sz w:val="18"/>
      <w:szCs w:val="18"/>
    </w:rPr>
  </w:style>
  <w:style w:type="character" w:customStyle="1" w:styleId="13">
    <w:name w:val="页脚 Char"/>
    <w:basedOn w:val="8"/>
    <w:link w:val="4"/>
    <w:qFormat/>
    <w:uiPriority w:val="0"/>
    <w:rPr>
      <w:rFonts w:ascii="Calibri" w:hAnsi="Calibri" w:eastAsia="宋体" w:cs="宋体"/>
      <w:kern w:val="2"/>
      <w:sz w:val="18"/>
      <w:szCs w:val="18"/>
    </w:rPr>
  </w:style>
  <w:style w:type="character" w:customStyle="1" w:styleId="14">
    <w:name w:val="批注框文本 Char"/>
    <w:basedOn w:val="8"/>
    <w:link w:val="3"/>
    <w:qFormat/>
    <w:uiPriority w:val="99"/>
    <w:rPr>
      <w:rFonts w:ascii="Calibri" w:hAnsi="Calibri" w:eastAsia="宋体" w:cs="宋体"/>
      <w:kern w:val="2"/>
      <w:sz w:val="18"/>
      <w:szCs w:val="18"/>
    </w:rPr>
  </w:style>
  <w:style w:type="character" w:customStyle="1" w:styleId="15">
    <w:name w:val="页脚 Char1"/>
    <w:qFormat/>
    <w:uiPriority w:val="0"/>
    <w:rPr>
      <w:rFonts w:eastAsia="方正仿宋_GBK"/>
      <w:kern w:val="2"/>
      <w:sz w:val="18"/>
      <w:lang w:val="en-US" w:eastAsia="zh-CN" w:bidi="ar-SA"/>
    </w:rPr>
  </w:style>
  <w:style w:type="character" w:customStyle="1" w:styleId="16">
    <w:name w:val="正文文本 Char"/>
    <w:basedOn w:val="8"/>
    <w:link w:val="2"/>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2825</Words>
  <Characters>2894</Characters>
  <Lines>20</Lines>
  <Paragraphs>5</Paragraphs>
  <TotalTime>61</TotalTime>
  <ScaleCrop>false</ScaleCrop>
  <LinksUpToDate>false</LinksUpToDate>
  <CharactersWithSpaces>2895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2024-06-19T02:09:00Z</dcterms:created>
  <dc:creator>pl</dc:creator>
  <cp:lastModifiedBy>世间皆妖孽</cp:lastModifiedBy>
  <cp:lastPrinted>2024-06-21T02:13:00Z</cp:lastPrinted>
  <dcterms:modified xsi:type="dcterms:W3CDTF">2025-01-23T12:42:30Z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A28AE908E4D24376AD66187035F6B733_13</vt:lpwstr>
  </property>
  <property fmtid="{D5CDD505-2E9C-101B-9397-08002B2CF9AE}" pid="4" name="KSOTemplateDocerSaveRecord">
    <vt:lpwstr>eyJoZGlkIjoiNzVmMTA4OGRkMzRhMjQzYmVmMmVjOTAwNjYyODBmM2YiLCJ1c2VySWQiOiIyMDQ4MTgwNTgifQ==</vt:lpwstr>
  </property>
</Properties>
</file>