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44"/>
          <w:szCs w:val="44"/>
        </w:rPr>
      </w:pPr>
      <w:bookmarkStart w:id="0" w:name="_Hlk38472698"/>
      <w:r>
        <w:drawing>
          <wp:anchor distT="0" distB="0" distL="114300" distR="114300" simplePos="0" relativeHeight="251660288"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sz w:val="44"/>
          <w:szCs w:val="44"/>
        </w:rPr>
        <w:t>关于艺术学院专升本教室</w:t>
      </w:r>
      <w:r>
        <w:rPr>
          <w:rFonts w:hint="eastAsia" w:ascii="仿宋" w:hAnsi="仿宋" w:eastAsia="仿宋"/>
          <w:b/>
          <w:sz w:val="44"/>
          <w:szCs w:val="44"/>
          <w:lang w:val="en-US" w:eastAsia="zh-CN"/>
        </w:rPr>
        <w:t>设备采购</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keepNext w:val="0"/>
        <w:keepLines w:val="0"/>
        <w:pageBreakBefore w:val="0"/>
        <w:widowControl/>
        <w:kinsoku/>
        <w:wordWrap/>
        <w:overflowPunct/>
        <w:topLinePunct w:val="0"/>
        <w:autoSpaceDE/>
        <w:autoSpaceDN/>
        <w:bidi w:val="0"/>
        <w:adjustRightInd/>
        <w:snapToGrid/>
        <w:spacing w:after="0" w:line="500" w:lineRule="exact"/>
        <w:ind w:left="2200" w:leftChars="1000" w:firstLine="0" w:firstLineChars="0"/>
        <w:textAlignment w:val="auto"/>
        <w:rPr>
          <w:rFonts w:hint="eastAsia" w:ascii="仿宋" w:hAnsi="仿宋" w:eastAsia="仿宋"/>
          <w:b/>
          <w:sz w:val="36"/>
          <w:szCs w:val="36"/>
        </w:rPr>
      </w:pPr>
    </w:p>
    <w:p>
      <w:pPr>
        <w:keepNext w:val="0"/>
        <w:keepLines w:val="0"/>
        <w:pageBreakBefore w:val="0"/>
        <w:widowControl/>
        <w:kinsoku/>
        <w:wordWrap/>
        <w:overflowPunct/>
        <w:topLinePunct w:val="0"/>
        <w:autoSpaceDE/>
        <w:autoSpaceDN/>
        <w:bidi w:val="0"/>
        <w:adjustRightInd/>
        <w:snapToGrid/>
        <w:spacing w:after="157" w:afterLines="50" w:line="500" w:lineRule="exact"/>
        <w:ind w:left="5068" w:leftChars="1400" w:hanging="1988" w:hangingChars="550"/>
        <w:textAlignment w:val="auto"/>
        <w:rPr>
          <w:rFonts w:ascii="仿宋" w:hAnsi="仿宋" w:eastAsia="仿宋"/>
          <w:b/>
          <w:sz w:val="36"/>
          <w:szCs w:val="36"/>
        </w:rPr>
      </w:pPr>
      <w:r>
        <w:rPr>
          <w:rFonts w:hint="eastAsia" w:ascii="仿宋" w:hAnsi="仿宋" w:eastAsia="仿宋"/>
          <w:b/>
          <w:sz w:val="36"/>
          <w:szCs w:val="36"/>
        </w:rPr>
        <w:t>项目编号：</w:t>
      </w:r>
      <w:bookmarkStart w:id="1" w:name="_Toc160880118"/>
      <w:bookmarkStart w:id="2" w:name="_Toc160880485"/>
      <w:bookmarkStart w:id="3" w:name="_Toc169332792"/>
      <w:r>
        <w:rPr>
          <w:rFonts w:hint="eastAsia" w:ascii="仿宋" w:hAnsi="仿宋" w:eastAsia="仿宋"/>
          <w:b/>
          <w:sz w:val="36"/>
          <w:szCs w:val="36"/>
        </w:rPr>
        <w:t>ZWC-2021038</w:t>
      </w:r>
    </w:p>
    <w:p>
      <w:pPr>
        <w:keepNext w:val="0"/>
        <w:keepLines w:val="0"/>
        <w:pageBreakBefore w:val="0"/>
        <w:widowControl/>
        <w:kinsoku/>
        <w:wordWrap/>
        <w:overflowPunct/>
        <w:topLinePunct w:val="0"/>
        <w:autoSpaceDE/>
        <w:autoSpaceDN/>
        <w:bidi w:val="0"/>
        <w:adjustRightInd/>
        <w:snapToGrid/>
        <w:spacing w:after="157" w:afterLines="50" w:line="500" w:lineRule="exact"/>
        <w:ind w:left="4977" w:leftChars="1400" w:hanging="1897" w:hangingChars="525"/>
        <w:textAlignment w:val="auto"/>
        <w:rPr>
          <w:rFonts w:hint="eastAsia" w:ascii="仿宋" w:hAnsi="仿宋" w:eastAsia="仿宋"/>
          <w:b/>
          <w:sz w:val="36"/>
          <w:szCs w:val="36"/>
        </w:r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51586187"/>
      <w:bookmarkStart w:id="5" w:name="_Toc219800200"/>
      <w:bookmarkStart w:id="6" w:name="_Toc267060162"/>
      <w:bookmarkStart w:id="7" w:name="_Toc227058483"/>
      <w:bookmarkStart w:id="8" w:name="_Toc267059899"/>
      <w:bookmarkStart w:id="9" w:name="_Toc249325665"/>
      <w:bookmarkStart w:id="10" w:name="_Toc267059161"/>
      <w:bookmarkStart w:id="11" w:name="_Toc207014580"/>
      <w:bookmarkStart w:id="12" w:name="_Toc266870861"/>
      <w:bookmarkStart w:id="13" w:name="_Toc212454753"/>
      <w:bookmarkStart w:id="14" w:name="_Toc267059786"/>
      <w:bookmarkStart w:id="15" w:name="_Toc211937196"/>
      <w:bookmarkStart w:id="16" w:name="_Toc255974963"/>
      <w:bookmarkStart w:id="17" w:name="_Toc251613780"/>
      <w:bookmarkStart w:id="18" w:name="_Toc212456146"/>
      <w:bookmarkStart w:id="19" w:name="_Toc266868924"/>
      <w:bookmarkStart w:id="20" w:name="_Toc266870386"/>
      <w:bookmarkStart w:id="21" w:name="_Toc217891359"/>
      <w:bookmarkStart w:id="22" w:name="_Toc177985424"/>
      <w:bookmarkStart w:id="23" w:name="_Toc254790852"/>
      <w:bookmarkStart w:id="24" w:name="_Toc266868624"/>
      <w:bookmarkStart w:id="25" w:name="_Toc267060407"/>
      <w:bookmarkStart w:id="26" w:name="_Toc258401210"/>
      <w:bookmarkStart w:id="27" w:name="_Toc267059633"/>
      <w:bookmarkStart w:id="28" w:name="_Toc223146565"/>
      <w:bookmarkStart w:id="29" w:name="_Toc235438227"/>
      <w:bookmarkStart w:id="30" w:name="_Toc273178686"/>
      <w:bookmarkStart w:id="31" w:name="_Toc267060022"/>
      <w:bookmarkStart w:id="32" w:name="_Toc259520819"/>
      <w:bookmarkStart w:id="33" w:name="_Toc169332794"/>
      <w:bookmarkStart w:id="34" w:name="_Toc267059519"/>
      <w:bookmarkStart w:id="35" w:name="_Toc236021402"/>
      <w:bookmarkStart w:id="36" w:name="_Toc253066567"/>
      <w:bookmarkStart w:id="37" w:name="_Toc259692693"/>
      <w:bookmarkStart w:id="38" w:name="_Toc235437942"/>
      <w:bookmarkStart w:id="39" w:name="_Toc216241307"/>
      <w:bookmarkStart w:id="40" w:name="_Toc259692600"/>
      <w:bookmarkStart w:id="41" w:name="_Toc170798743"/>
      <w:bookmarkStart w:id="42" w:name="_Toc267059010"/>
      <w:bookmarkStart w:id="43" w:name="_Toc225669277"/>
      <w:bookmarkStart w:id="44" w:name="_Toc212530253"/>
      <w:bookmarkStart w:id="45" w:name="_Toc169332904"/>
      <w:bookmarkStart w:id="46" w:name="_Toc235438297"/>
      <w:bookmarkStart w:id="47" w:name="_Toc160880487"/>
      <w:bookmarkStart w:id="48" w:name="_Toc212526081"/>
      <w:r>
        <w:rPr>
          <w:rFonts w:hint="eastAsia" w:ascii="仿宋" w:hAnsi="仿宋" w:eastAsia="仿宋"/>
          <w:b/>
          <w:sz w:val="36"/>
          <w:szCs w:val="36"/>
        </w:rPr>
        <w:t>艺术学院专升本教室</w:t>
      </w:r>
      <w:r>
        <w:rPr>
          <w:rFonts w:hint="eastAsia" w:ascii="仿宋" w:hAnsi="仿宋" w:eastAsia="仿宋"/>
          <w:b/>
          <w:sz w:val="36"/>
          <w:szCs w:val="36"/>
          <w:lang w:val="en-US" w:eastAsia="zh-CN"/>
        </w:rPr>
        <w:t>设备采购</w:t>
      </w:r>
      <w:r>
        <w:rPr>
          <w:rFonts w:hint="eastAsia" w:ascii="仿宋" w:hAnsi="仿宋" w:eastAsia="仿宋"/>
          <w:b/>
          <w:sz w:val="36"/>
          <w:szCs w:val="36"/>
        </w:rPr>
        <w:t>项目</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keepNext w:val="0"/>
        <w:keepLines w:val="0"/>
        <w:pageBreakBefore w:val="0"/>
        <w:widowControl/>
        <w:kinsoku/>
        <w:wordWrap/>
        <w:overflowPunct/>
        <w:topLinePunct w:val="0"/>
        <w:autoSpaceDE/>
        <w:autoSpaceDN/>
        <w:bidi w:val="0"/>
        <w:adjustRightInd/>
        <w:snapToGrid/>
        <w:spacing w:after="157" w:afterLines="50" w:line="500" w:lineRule="exact"/>
        <w:ind w:left="4188" w:leftChars="1000" w:hanging="1988" w:hangingChars="550"/>
        <w:textAlignment w:val="auto"/>
        <w:rPr>
          <w:rFonts w:hint="eastAsia" w:ascii="仿宋" w:hAnsi="仿宋" w:eastAsia="仿宋"/>
          <w:b/>
          <w:sz w:val="36"/>
          <w:szCs w:val="36"/>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p>
    <w:p>
      <w:pPr>
        <w:spacing w:line="500" w:lineRule="exact"/>
        <w:ind w:firstLine="2849" w:firstLineChars="645"/>
        <w:rPr>
          <w:rFonts w:ascii="仿宋" w:hAnsi="仿宋" w:eastAsia="仿宋"/>
          <w:b/>
          <w:sz w:val="44"/>
          <w:szCs w:val="44"/>
        </w:rPr>
      </w:pPr>
      <w:bookmarkStart w:id="49" w:name="_Hlk67754059"/>
      <w:r>
        <w:rPr>
          <w:rFonts w:hint="eastAsia" w:ascii="仿宋" w:hAnsi="仿宋" w:eastAsia="仿宋"/>
          <w:b/>
          <w:sz w:val="44"/>
          <w:szCs w:val="44"/>
        </w:rPr>
        <w:t>一、询价邀请函</w:t>
      </w:r>
    </w:p>
    <w:bookmarkEnd w:id="49"/>
    <w:p>
      <w:pPr>
        <w:spacing w:after="0" w:line="500" w:lineRule="exact"/>
        <w:ind w:firstLine="560" w:firstLineChars="200"/>
        <w:rPr>
          <w:rFonts w:ascii="仿宋" w:hAnsi="仿宋" w:eastAsia="仿宋"/>
          <w:sz w:val="28"/>
          <w:szCs w:val="28"/>
        </w:rPr>
      </w:pPr>
      <w:bookmarkStart w:id="50"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w:t>
      </w:r>
      <w:r>
        <w:rPr>
          <w:rFonts w:ascii="仿宋" w:hAnsi="仿宋" w:eastAsia="仿宋"/>
          <w:sz w:val="28"/>
          <w:szCs w:val="28"/>
        </w:rPr>
        <w:t>.5</w:t>
      </w:r>
      <w:r>
        <w:rPr>
          <w:rFonts w:hint="eastAsia" w:ascii="仿宋" w:hAnsi="仿宋" w:eastAsia="仿宋"/>
          <w:sz w:val="28"/>
          <w:szCs w:val="28"/>
        </w:rPr>
        <w:t>万人。根据需要，对艺术学院专升本教室设备采购项目进行公开询价，欢迎国内合格参与人参与。</w:t>
      </w:r>
    </w:p>
    <w:p>
      <w:pPr>
        <w:spacing w:after="0" w:line="500" w:lineRule="exact"/>
        <w:jc w:val="left"/>
        <w:rPr>
          <w:rFonts w:ascii="仿宋" w:hAnsi="仿宋" w:eastAsia="仿宋"/>
          <w:sz w:val="28"/>
          <w:szCs w:val="28"/>
        </w:rPr>
      </w:pPr>
      <w:r>
        <w:rPr>
          <w:rFonts w:hint="eastAsia" w:ascii="仿宋" w:hAnsi="仿宋" w:eastAsia="仿宋"/>
          <w:sz w:val="28"/>
          <w:szCs w:val="28"/>
        </w:rPr>
        <w:t>一、项目说明</w:t>
      </w:r>
    </w:p>
    <w:p>
      <w:pPr>
        <w:widowControl w:val="0"/>
        <w:tabs>
          <w:tab w:val="left" w:pos="839"/>
          <w:tab w:val="left" w:pos="1469"/>
        </w:tabs>
        <w:spacing w:after="0" w:line="500" w:lineRule="exact"/>
        <w:rPr>
          <w:rFonts w:hint="default" w:ascii="仿宋" w:hAnsi="仿宋" w:eastAsia="仿宋"/>
          <w:sz w:val="28"/>
          <w:szCs w:val="28"/>
          <w:lang w:val="en-US" w:eastAsia="zh-CN"/>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项目编号：</w:t>
      </w:r>
      <w:r>
        <w:rPr>
          <w:rFonts w:hint="eastAsia" w:ascii="仿宋" w:hAnsi="仿宋" w:eastAsia="仿宋"/>
          <w:sz w:val="28"/>
          <w:szCs w:val="28"/>
          <w:lang w:val="en-US" w:eastAsia="zh-CN"/>
        </w:rPr>
        <w:t>ZWC-2021038</w:t>
      </w:r>
    </w:p>
    <w:p>
      <w:pPr>
        <w:widowControl w:val="0"/>
        <w:tabs>
          <w:tab w:val="left" w:pos="839"/>
          <w:tab w:val="left" w:pos="1469"/>
        </w:tabs>
        <w:spacing w:after="0" w:line="50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项目名称：艺术学院专升本教室</w:t>
      </w:r>
      <w:r>
        <w:rPr>
          <w:rFonts w:hint="eastAsia" w:ascii="仿宋" w:hAnsi="仿宋" w:eastAsia="仿宋"/>
          <w:sz w:val="28"/>
          <w:szCs w:val="28"/>
          <w:lang w:val="en-US" w:eastAsia="zh-CN"/>
        </w:rPr>
        <w:t>设备采购</w:t>
      </w:r>
      <w:r>
        <w:rPr>
          <w:rFonts w:hint="eastAsia" w:ascii="仿宋" w:hAnsi="仿宋" w:eastAsia="仿宋"/>
          <w:sz w:val="28"/>
          <w:szCs w:val="28"/>
        </w:rPr>
        <w:t>项目</w:t>
      </w:r>
    </w:p>
    <w:p>
      <w:pPr>
        <w:widowControl w:val="0"/>
        <w:tabs>
          <w:tab w:val="left" w:pos="839"/>
          <w:tab w:val="left" w:pos="1469"/>
        </w:tabs>
        <w:spacing w:after="0" w:line="50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数量及主要技术要求:详见《公开询价货物一览表》</w:t>
      </w:r>
    </w:p>
    <w:p>
      <w:pPr>
        <w:widowControl w:val="0"/>
        <w:tabs>
          <w:tab w:val="left" w:pos="839"/>
          <w:tab w:val="left" w:pos="1469"/>
        </w:tabs>
        <w:spacing w:after="0" w:line="500" w:lineRule="exact"/>
        <w:rPr>
          <w:rFonts w:ascii="仿宋" w:hAnsi="仿宋" w:eastAsia="仿宋"/>
          <w:color w:val="FF0000"/>
          <w:sz w:val="28"/>
          <w:szCs w:val="28"/>
        </w:rPr>
      </w:pPr>
      <w:r>
        <w:rPr>
          <w:rFonts w:ascii="仿宋" w:hAnsi="仿宋" w:eastAsia="仿宋"/>
          <w:sz w:val="28"/>
          <w:szCs w:val="28"/>
        </w:rPr>
        <w:t>4.</w:t>
      </w:r>
      <w:r>
        <w:rPr>
          <w:rFonts w:hint="eastAsia" w:ascii="仿宋" w:hAnsi="仿宋" w:eastAsia="仿宋"/>
          <w:sz w:val="28"/>
          <w:szCs w:val="28"/>
        </w:rPr>
        <w:t>参与人资格标准：</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（1）参与人应具有独立法人资格，具有家具、教具生产或销售经营范围。</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（3）参与人应遵守中国的有关法律、法规和规章的规定。</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（4）参与人具有三年以上（包括三年）3个以上同类项目销售和良好的售后服务应用成功案例（提供文字或图片),近三年未发生重大安全或质量事故。</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（5）参与人须有良好的商业信誉和健全的财务制度。</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（6）参与人有依法缴纳税金的良好记录。</w:t>
      </w:r>
    </w:p>
    <w:p>
      <w:pPr>
        <w:pStyle w:val="61"/>
        <w:spacing w:after="0" w:line="400" w:lineRule="exact"/>
        <w:ind w:left="709" w:hanging="709" w:firstLineChars="0"/>
        <w:jc w:val="left"/>
        <w:rPr>
          <w:rFonts w:ascii="仿宋" w:hAnsi="仿宋" w:eastAsia="仿宋"/>
          <w:sz w:val="28"/>
          <w:szCs w:val="28"/>
        </w:rPr>
      </w:pPr>
      <w:r>
        <w:rPr>
          <w:rFonts w:hint="eastAsia" w:ascii="仿宋" w:hAnsi="仿宋" w:eastAsia="仿宋"/>
          <w:sz w:val="28"/>
          <w:szCs w:val="28"/>
        </w:rPr>
        <w:t>（7）参与人应提供下列资格证明文件，否则其响应文件将被拒绝：</w:t>
      </w:r>
    </w:p>
    <w:p>
      <w:pPr>
        <w:spacing w:after="0" w:line="460" w:lineRule="exact"/>
        <w:ind w:left="550" w:leftChars="25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spacing w:after="0" w:line="460" w:lineRule="exact"/>
        <w:ind w:left="550" w:leftChars="250"/>
        <w:rPr>
          <w:rFonts w:ascii="仿宋" w:hAnsi="仿宋" w:eastAsia="仿宋"/>
          <w:sz w:val="28"/>
          <w:szCs w:val="28"/>
        </w:rPr>
      </w:pPr>
      <w:r>
        <w:rPr>
          <w:rFonts w:hint="eastAsia" w:ascii="仿宋" w:hAnsi="仿宋" w:eastAsia="仿宋"/>
          <w:sz w:val="28"/>
          <w:szCs w:val="28"/>
        </w:rPr>
        <w:t>2）授权代理商需提供厂家授权证明；</w:t>
      </w:r>
    </w:p>
    <w:p>
      <w:pPr>
        <w:spacing w:after="0" w:line="460" w:lineRule="exact"/>
        <w:ind w:left="550" w:leftChars="25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）2020年公司财务报表及纳税证明；</w:t>
      </w:r>
    </w:p>
    <w:p>
      <w:pPr>
        <w:spacing w:after="0" w:line="460" w:lineRule="exact"/>
        <w:ind w:left="550" w:leftChars="250"/>
        <w:rPr>
          <w:rFonts w:ascii="仿宋" w:hAnsi="仿宋" w:eastAsia="仿宋"/>
          <w:sz w:val="28"/>
          <w:szCs w:val="28"/>
        </w:rPr>
      </w:pPr>
      <w:r>
        <w:rPr>
          <w:rFonts w:hint="eastAsia" w:ascii="仿宋" w:hAnsi="仿宋" w:eastAsia="仿宋"/>
          <w:sz w:val="28"/>
          <w:szCs w:val="28"/>
        </w:rPr>
        <w:t>4）社会保障资金的缴纳记录证明。</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sz w:val="28"/>
          <w:szCs w:val="28"/>
          <w:shd w:val="clear" w:color="auto" w:fill="FFFFFF"/>
        </w:rPr>
      </w:pPr>
      <w:r>
        <w:rPr>
          <w:rFonts w:ascii="仿宋" w:hAnsi="仿宋" w:eastAsia="仿宋"/>
          <w:sz w:val="28"/>
          <w:szCs w:val="28"/>
        </w:rPr>
        <w:t>5.</w:t>
      </w:r>
      <w:r>
        <w:rPr>
          <w:rFonts w:hint="eastAsia" w:ascii="仿宋" w:hAnsi="仿宋" w:eastAsia="仿宋"/>
          <w:sz w:val="28"/>
          <w:szCs w:val="28"/>
        </w:rPr>
        <w:t>报价响应文件递交方式：</w:t>
      </w:r>
      <w:bookmarkStart w:id="51" w:name="_Hlk67753571"/>
      <w:r>
        <w:rPr>
          <w:rFonts w:hint="eastAsia" w:ascii="仿宋" w:hAnsi="仿宋" w:eastAsia="仿宋"/>
          <w:b/>
          <w:bCs/>
          <w:sz w:val="28"/>
          <w:szCs w:val="28"/>
        </w:rPr>
        <w:t>密封报价并使用现场报送或邮寄报送</w:t>
      </w:r>
      <w:r>
        <w:rPr>
          <w:rFonts w:hint="eastAsia" w:ascii="仿宋" w:hAnsi="仿宋" w:eastAsia="仿宋"/>
          <w:sz w:val="28"/>
          <w:szCs w:val="28"/>
        </w:rPr>
        <w:t>。</w:t>
      </w:r>
    </w:p>
    <w:p>
      <w:pPr>
        <w:widowControl w:val="0"/>
        <w:tabs>
          <w:tab w:val="left" w:pos="839"/>
          <w:tab w:val="left" w:pos="1469"/>
        </w:tabs>
        <w:spacing w:after="0" w:line="440" w:lineRule="exact"/>
        <w:rPr>
          <w:rFonts w:ascii="仿宋" w:hAnsi="仿宋" w:eastAsia="仿宋"/>
          <w:sz w:val="28"/>
          <w:szCs w:val="28"/>
          <w:shd w:val="clear" w:color="auto" w:fill="FFFFFF"/>
        </w:rPr>
      </w:pPr>
      <w:r>
        <w:rPr>
          <w:rFonts w:ascii="仿宋" w:hAnsi="仿宋" w:eastAsia="仿宋"/>
          <w:sz w:val="28"/>
          <w:szCs w:val="28"/>
        </w:rPr>
        <w:t>6.</w:t>
      </w: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07</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21</w:t>
      </w:r>
      <w:bookmarkStart w:id="330" w:name="_GoBack"/>
      <w:bookmarkEnd w:id="330"/>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前（以参与人快递寄出时间为准）。</w:t>
      </w:r>
    </w:p>
    <w:p>
      <w:pPr>
        <w:spacing w:after="0" w:line="440" w:lineRule="exac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报价响应文件递交地点：渝北区回兴龙石路18号学院办公楼二楼</w:t>
      </w:r>
      <w:r>
        <w:rPr>
          <w:rFonts w:ascii="仿宋" w:hAnsi="仿宋" w:eastAsia="仿宋"/>
          <w:sz w:val="28"/>
          <w:szCs w:val="28"/>
        </w:rPr>
        <w:t>202</w:t>
      </w:r>
      <w:r>
        <w:rPr>
          <w:rFonts w:hint="eastAsia" w:ascii="仿宋" w:hAnsi="仿宋" w:eastAsia="仿宋"/>
          <w:sz w:val="28"/>
          <w:szCs w:val="28"/>
        </w:rPr>
        <w:t>室。</w:t>
      </w:r>
    </w:p>
    <w:bookmarkEnd w:id="51"/>
    <w:p>
      <w:pPr>
        <w:spacing w:after="0" w:line="440" w:lineRule="exact"/>
        <w:ind w:left="839"/>
        <w:rPr>
          <w:rFonts w:ascii="仿宋" w:hAnsi="仿宋" w:eastAsia="仿宋"/>
          <w:b/>
          <w:bCs/>
          <w:sz w:val="28"/>
          <w:szCs w:val="28"/>
        </w:rPr>
      </w:pPr>
      <w:bookmarkStart w:id="52"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王刚</w:t>
      </w:r>
      <w:r>
        <w:rPr>
          <w:rFonts w:hint="eastAsia" w:ascii="仿宋" w:hAnsi="仿宋" w:eastAsia="仿宋"/>
          <w:b/>
          <w:bCs/>
          <w:sz w:val="28"/>
          <w:szCs w:val="28"/>
        </w:rPr>
        <w:t xml:space="preserve">      联系电话：18875090304 </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52"/>
    <w:p>
      <w:pPr>
        <w:spacing w:after="0" w:line="440" w:lineRule="exact"/>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1.所有货物及施工改造服务等均以人民币报价；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1.免费保修期，壹年以上；</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2.应急保修时间安排，报修后2天内完成；</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4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440" w:lineRule="exact"/>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40" w:lineRule="exac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p>
      <w:pPr>
        <w:widowControl w:val="0"/>
        <w:spacing w:after="0" w:line="500" w:lineRule="exact"/>
        <w:jc w:val="left"/>
        <w:rPr>
          <w:rFonts w:ascii="仿宋" w:hAnsi="仿宋" w:eastAsia="仿宋"/>
          <w:sz w:val="28"/>
          <w:szCs w:val="28"/>
        </w:rPr>
      </w:pPr>
    </w:p>
    <w:p>
      <w:pPr>
        <w:widowControl w:val="0"/>
        <w:spacing w:after="0" w:line="500" w:lineRule="exact"/>
        <w:ind w:firstLine="560" w:firstLineChars="200"/>
        <w:jc w:val="left"/>
        <w:rPr>
          <w:rFonts w:ascii="仿宋" w:hAnsi="仿宋" w:eastAsia="仿宋"/>
          <w:sz w:val="28"/>
          <w:szCs w:val="28"/>
        </w:rPr>
        <w:sectPr>
          <w:headerReference r:id="rId7" w:type="first"/>
          <w:pgSz w:w="11906" w:h="16838"/>
          <w:pgMar w:top="1440" w:right="1416" w:bottom="1440" w:left="1134" w:header="142" w:footer="227" w:gutter="0"/>
          <w:cols w:space="425" w:num="1"/>
          <w:titlePg/>
          <w:docGrid w:type="lines" w:linePitch="312" w:charSpace="0"/>
        </w:sectPr>
      </w:pPr>
    </w:p>
    <w:p>
      <w:pPr>
        <w:pStyle w:val="60"/>
        <w:spacing w:line="360" w:lineRule="auto"/>
        <w:jc w:val="center"/>
        <w:outlineLvl w:val="0"/>
        <w:rPr>
          <w:rFonts w:ascii="仿宋" w:hAnsi="仿宋" w:eastAsia="仿宋"/>
          <w:b/>
          <w:color w:val="auto"/>
          <w:sz w:val="44"/>
          <w:szCs w:val="44"/>
        </w:rPr>
      </w:pPr>
      <w:bookmarkStart w:id="53" w:name="_Hlk61444720"/>
      <w:r>
        <w:rPr>
          <w:rFonts w:hint="eastAsia" w:ascii="仿宋" w:hAnsi="仿宋" w:eastAsia="仿宋"/>
          <w:b/>
          <w:color w:val="auto"/>
          <w:sz w:val="44"/>
          <w:szCs w:val="44"/>
        </w:rPr>
        <w:t>二、公开询价</w:t>
      </w:r>
      <w:bookmarkEnd w:id="50"/>
      <w:r>
        <w:rPr>
          <w:rFonts w:hint="eastAsia" w:ascii="仿宋" w:hAnsi="仿宋" w:eastAsia="仿宋"/>
          <w:b/>
          <w:color w:val="auto"/>
          <w:sz w:val="44"/>
          <w:szCs w:val="44"/>
        </w:rPr>
        <w:t>项目介绍</w:t>
      </w:r>
    </w:p>
    <w:bookmarkEnd w:id="53"/>
    <w:p>
      <w:pPr>
        <w:spacing w:after="0" w:line="500" w:lineRule="exact"/>
        <w:ind w:left="1968" w:hanging="1968" w:hangingChars="700"/>
        <w:rPr>
          <w:rFonts w:ascii="仿宋" w:hAnsi="仿宋" w:eastAsia="仿宋"/>
          <w:sz w:val="28"/>
          <w:szCs w:val="28"/>
        </w:rPr>
      </w:pPr>
      <w:bookmarkStart w:id="54" w:name="_Hlk46845989"/>
      <w:r>
        <w:rPr>
          <w:rFonts w:hint="eastAsia" w:ascii="仿宋" w:hAnsi="仿宋" w:eastAsia="仿宋"/>
          <w:b/>
          <w:sz w:val="28"/>
          <w:szCs w:val="28"/>
        </w:rPr>
        <w:t>一、项目名称：</w:t>
      </w:r>
      <w:r>
        <w:rPr>
          <w:rFonts w:hint="eastAsia" w:ascii="仿宋" w:hAnsi="仿宋" w:eastAsia="仿宋"/>
          <w:sz w:val="28"/>
          <w:szCs w:val="28"/>
        </w:rPr>
        <w:t>艺术学院专升本项目</w:t>
      </w:r>
    </w:p>
    <w:p>
      <w:pPr>
        <w:spacing w:after="0" w:line="500" w:lineRule="exact"/>
        <w:ind w:left="1968" w:hanging="1968" w:hangingChars="700"/>
        <w:rPr>
          <w:rFonts w:ascii="仿宋" w:hAnsi="仿宋" w:eastAsia="仿宋"/>
          <w:sz w:val="28"/>
          <w:szCs w:val="28"/>
        </w:rPr>
      </w:pPr>
      <w:r>
        <w:rPr>
          <w:rFonts w:hint="eastAsia" w:ascii="仿宋" w:hAnsi="仿宋" w:eastAsia="仿宋"/>
          <w:b/>
          <w:sz w:val="28"/>
          <w:szCs w:val="28"/>
        </w:rPr>
        <w:t>二、项目地点：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400" w:lineRule="exact"/>
        <w:ind w:firstLine="560" w:firstLineChars="200"/>
        <w:rPr>
          <w:rFonts w:ascii="仿宋" w:hAnsi="仿宋" w:eastAsia="仿宋"/>
          <w:sz w:val="28"/>
          <w:szCs w:val="28"/>
        </w:rPr>
      </w:pPr>
      <w:r>
        <w:rPr>
          <w:rFonts w:hint="eastAsia" w:ascii="仿宋" w:hAnsi="仿宋" w:eastAsia="仿宋"/>
          <w:sz w:val="28"/>
          <w:szCs w:val="28"/>
        </w:rPr>
        <w:t>重庆外语外事学院对艺术学院专升本教室设备</w:t>
      </w:r>
      <w:r>
        <w:rPr>
          <w:rFonts w:hint="eastAsia" w:ascii="仿宋" w:hAnsi="仿宋" w:eastAsia="仿宋"/>
          <w:sz w:val="28"/>
          <w:szCs w:val="28"/>
          <w:lang w:val="en-US" w:eastAsia="zh-CN"/>
        </w:rPr>
        <w:t>项目</w:t>
      </w:r>
      <w:r>
        <w:rPr>
          <w:rFonts w:hint="eastAsia" w:ascii="仿宋" w:hAnsi="仿宋" w:eastAsia="仿宋"/>
          <w:sz w:val="28"/>
          <w:szCs w:val="28"/>
        </w:rPr>
        <w:t>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（一）资格性审查：按参与人资格标准的各项要求逐项审查。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注：资格性审查有其中一项不符合者不进入下一程序。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（二）符合性审查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2、服务要求：参与人必须逐项承诺</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（1）交货时间：2021年</w:t>
      </w:r>
      <w:r>
        <w:rPr>
          <w:rFonts w:hint="eastAsia" w:ascii="仿宋" w:hAnsi="仿宋" w:eastAsia="仿宋"/>
          <w:bCs/>
          <w:sz w:val="28"/>
          <w:szCs w:val="28"/>
          <w:lang w:val="en-US" w:eastAsia="zh-CN"/>
        </w:rPr>
        <w:t>08</w:t>
      </w:r>
      <w:r>
        <w:rPr>
          <w:rFonts w:hint="eastAsia" w:ascii="仿宋" w:hAnsi="仿宋" w:eastAsia="仿宋"/>
          <w:bCs/>
          <w:sz w:val="28"/>
          <w:szCs w:val="28"/>
        </w:rPr>
        <w:t>月</w:t>
      </w:r>
      <w:r>
        <w:rPr>
          <w:rFonts w:hint="eastAsia" w:ascii="仿宋" w:hAnsi="仿宋" w:eastAsia="仿宋"/>
          <w:bCs/>
          <w:sz w:val="28"/>
          <w:szCs w:val="28"/>
          <w:lang w:val="en-US" w:eastAsia="zh-CN"/>
        </w:rPr>
        <w:t>20</w:t>
      </w:r>
      <w:r>
        <w:rPr>
          <w:rFonts w:hint="eastAsia" w:ascii="仿宋" w:hAnsi="仿宋" w:eastAsia="仿宋"/>
          <w:bCs/>
          <w:sz w:val="28"/>
          <w:szCs w:val="28"/>
        </w:rPr>
        <w:t>日前，具体以学校通知为准。</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（2）交货地点：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号重庆外语外事学院渝北校区办公楼</w:t>
      </w:r>
      <w:r>
        <w:rPr>
          <w:rFonts w:ascii="仿宋" w:hAnsi="仿宋" w:eastAsia="仿宋"/>
          <w:sz w:val="28"/>
          <w:szCs w:val="28"/>
        </w:rPr>
        <w:t>3</w:t>
      </w:r>
      <w:r>
        <w:rPr>
          <w:rFonts w:hint="eastAsia" w:ascii="仿宋" w:hAnsi="仿宋" w:eastAsia="仿宋"/>
          <w:sz w:val="28"/>
          <w:szCs w:val="28"/>
        </w:rPr>
        <w:t>楼306室。</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（3）到货率：根据交货时间到货率达到100%。</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（4）付款方式：安装完成验收合格付95%，一年须保期满无重大质量问题付5%。</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（5）验收承诺：详见第四条技术服务要求。</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（6）售后服务承诺：详见第六条售后服务要求。</w:t>
      </w:r>
    </w:p>
    <w:p>
      <w:pPr>
        <w:spacing w:after="0" w:line="500" w:lineRule="exact"/>
        <w:ind w:firstLine="560" w:firstLineChars="200"/>
        <w:rPr>
          <w:rFonts w:ascii="仿宋" w:hAnsi="仿宋" w:eastAsia="仿宋"/>
          <w:bCs/>
          <w:sz w:val="28"/>
          <w:szCs w:val="28"/>
        </w:rPr>
      </w:pPr>
      <w:r>
        <w:rPr>
          <w:rFonts w:hint="eastAsia" w:ascii="仿宋" w:hAnsi="仿宋" w:eastAsia="仿宋"/>
          <w:bCs/>
          <w:sz w:val="28"/>
          <w:szCs w:val="28"/>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w:t>
      </w:r>
      <w:r>
        <w:rPr>
          <w:rFonts w:hint="eastAsia" w:ascii="仿宋" w:hAnsi="仿宋" w:eastAsia="仿宋"/>
          <w:sz w:val="28"/>
          <w:szCs w:val="28"/>
          <w:lang w:val="en-US" w:eastAsia="zh-CN"/>
        </w:rPr>
        <w:t>叁</w:t>
      </w:r>
      <w:r>
        <w:rPr>
          <w:rFonts w:hint="eastAsia" w:ascii="仿宋" w:hAnsi="仿宋" w:eastAsia="仿宋"/>
          <w:sz w:val="28"/>
          <w:szCs w:val="28"/>
        </w:rPr>
        <w:t>年，从验收合格之日起算。在保质期内，乙方应对非人为因素损坏的物品负责包换。</w:t>
      </w:r>
    </w:p>
    <w:p>
      <w:pPr>
        <w:spacing w:after="0" w:line="440" w:lineRule="exact"/>
        <w:rPr>
          <w:rFonts w:ascii="仿宋" w:hAnsi="仿宋" w:eastAsia="仿宋"/>
          <w:bCs/>
          <w:sz w:val="28"/>
          <w:szCs w:val="28"/>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bookmarkEnd w:id="54"/>
    <w:p>
      <w:pPr>
        <w:rPr>
          <w:rFonts w:ascii="仿宋" w:hAnsi="仿宋" w:eastAsia="仿宋"/>
          <w:b/>
          <w:sz w:val="36"/>
          <w:szCs w:val="36"/>
        </w:rPr>
        <w:sectPr>
          <w:pgSz w:w="11906" w:h="16838"/>
          <w:pgMar w:top="1440" w:right="1274" w:bottom="1440" w:left="1134" w:header="284" w:footer="227" w:gutter="0"/>
          <w:cols w:space="425" w:num="1"/>
          <w:titlePg/>
          <w:docGrid w:type="lines" w:linePitch="312" w:charSpace="0"/>
        </w:sectPr>
      </w:pPr>
    </w:p>
    <w:p>
      <w:pPr>
        <w:pStyle w:val="60"/>
        <w:numPr>
          <w:ilvl w:val="255"/>
          <w:numId w:val="0"/>
        </w:numPr>
        <w:spacing w:line="360" w:lineRule="auto"/>
        <w:jc w:val="center"/>
        <w:outlineLvl w:val="0"/>
        <w:rPr>
          <w:rFonts w:ascii="仿宋" w:hAnsi="仿宋" w:eastAsia="仿宋"/>
          <w:b/>
          <w:color w:val="FF0000"/>
          <w:sz w:val="44"/>
          <w:szCs w:val="44"/>
        </w:rPr>
      </w:pPr>
      <w:r>
        <w:rPr>
          <w:rFonts w:hint="eastAsia" w:ascii="仿宋" w:hAnsi="仿宋" w:eastAsia="仿宋"/>
          <w:b/>
          <w:color w:val="auto"/>
          <w:sz w:val="44"/>
          <w:szCs w:val="44"/>
        </w:rPr>
        <w:t>公开询价货物一览表</w:t>
      </w:r>
    </w:p>
    <w:tbl>
      <w:tblPr>
        <w:tblStyle w:val="26"/>
        <w:tblW w:w="13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12"/>
        <w:gridCol w:w="4482"/>
        <w:gridCol w:w="1017"/>
        <w:gridCol w:w="1017"/>
        <w:gridCol w:w="1035"/>
        <w:gridCol w:w="1197"/>
        <w:gridCol w:w="124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序号</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产品名称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技术参数</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
                <w:bCs/>
                <w:color w:val="000000"/>
                <w:sz w:val="20"/>
                <w:szCs w:val="20"/>
                <w:lang w:val="en-US" w:eastAsia="zh-CN"/>
              </w:rPr>
            </w:pPr>
            <w:r>
              <w:rPr>
                <w:rFonts w:hint="eastAsia" w:ascii="新宋体" w:hAnsi="新宋体" w:eastAsia="新宋体" w:cs="宋体"/>
                <w:b/>
                <w:bCs/>
                <w:color w:val="000000"/>
                <w:sz w:val="20"/>
                <w:szCs w:val="20"/>
                <w:lang w:val="en-US" w:eastAsia="zh-CN"/>
              </w:rPr>
              <w:t>品牌</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单位</w:t>
            </w:r>
          </w:p>
        </w:tc>
        <w:tc>
          <w:tcPr>
            <w:tcW w:w="1035"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数量</w:t>
            </w:r>
          </w:p>
        </w:tc>
        <w:tc>
          <w:tcPr>
            <w:tcW w:w="119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单价</w:t>
            </w:r>
          </w:p>
        </w:tc>
        <w:tc>
          <w:tcPr>
            <w:tcW w:w="124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小计</w:t>
            </w: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szCs w:val="21"/>
              </w:rPr>
            </w:pPr>
            <w:r>
              <w:rPr>
                <w:rFonts w:hint="eastAsia" w:ascii="宋体" w:hAnsi="宋体" w:cs="宋体"/>
                <w:bCs/>
                <w:szCs w:val="21"/>
              </w:rPr>
              <w:t>1</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便携式投影仪</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分辨率：1024*768，亮度：4000流明，对比度2500000：1激光投影</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auto"/>
              <w:textAlignment w:val="auto"/>
              <w:rPr>
                <w:rFonts w:hint="eastAsia" w:ascii="新宋体" w:hAnsi="新宋体" w:eastAsia="新宋体" w:cs="宋体"/>
                <w:bCs/>
                <w:color w:val="000000"/>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新宋体" w:hAnsi="新宋体" w:eastAsia="新宋体" w:cs="宋体"/>
                <w:bCs/>
                <w:color w:val="000000"/>
                <w:sz w:val="20"/>
                <w:szCs w:val="20"/>
              </w:rPr>
            </w:pPr>
            <w:r>
              <w:rPr>
                <w:rFonts w:hint="eastAsia" w:ascii="新宋体" w:hAnsi="新宋体" w:eastAsia="新宋体" w:cs="宋体"/>
                <w:bCs/>
                <w:color w:val="000000"/>
                <w:sz w:val="20"/>
                <w:szCs w:val="20"/>
              </w:rPr>
              <w:t>12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新宋体" w:hAnsi="新宋体" w:eastAsia="新宋体" w:cs="宋体"/>
                <w:bCs/>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szCs w:val="21"/>
              </w:rPr>
            </w:pPr>
            <w:r>
              <w:rPr>
                <w:rFonts w:hint="eastAsia" w:ascii="宋体" w:hAnsi="宋体" w:cs="宋体"/>
                <w:bCs/>
                <w:szCs w:val="21"/>
              </w:rPr>
              <w:t>2</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教师用工作台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加厚环保密度板，可安装电源（侧面）。原木色桌面、灰色桌腿、边缘需封包。参考尺寸：1400×800×250mm。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cs="宋体" w:eastAsiaTheme="minorEastAsia"/>
                <w:bCs/>
                <w:color w:val="000000"/>
                <w:szCs w:val="21"/>
                <w:lang w:val="en-US" w:eastAsia="zh-CN"/>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3</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eastAsiaTheme="minorEastAsia" w:cstheme="minorBidi"/>
                <w:color w:val="auto"/>
                <w:sz w:val="22"/>
                <w:szCs w:val="21"/>
                <w:lang w:val="en-US" w:eastAsia="zh-CN" w:bidi="ar-SA"/>
              </w:rPr>
            </w:pPr>
            <w:r>
              <w:rPr>
                <w:rFonts w:hint="eastAsia" w:ascii="宋体" w:hAnsi="宋体"/>
                <w:color w:val="auto"/>
                <w:szCs w:val="21"/>
                <w:lang w:val="en-US" w:eastAsia="zh-CN"/>
              </w:rPr>
              <w:t>教师工作台储物柜</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厚加厚环保密度板，可安装交换机，原木色桌面、灰色桌腿、边缘需封包。参考尺寸：400×600×600mm。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eastAsiaTheme="minorEastAsia"/>
                <w:szCs w:val="21"/>
                <w:lang w:val="en-US" w:eastAsia="zh-CN"/>
              </w:rPr>
            </w:pPr>
            <w:r>
              <w:rPr>
                <w:rFonts w:hint="eastAsia" w:ascii="宋体" w:hAnsi="宋体"/>
                <w:szCs w:val="21"/>
                <w:lang w:val="en-US" w:eastAsia="zh-CN"/>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eastAsiaTheme="minorEastAsia"/>
                <w:szCs w:val="21"/>
                <w:lang w:val="en-US" w:eastAsia="zh-CN"/>
              </w:rPr>
            </w:pPr>
            <w:r>
              <w:rPr>
                <w:rFonts w:hint="eastAsia" w:ascii="宋体" w:hAnsi="宋体"/>
                <w:szCs w:val="21"/>
                <w:lang w:val="en-US" w:eastAsia="zh-CN"/>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4</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szCs w:val="21"/>
              </w:rPr>
            </w:pPr>
            <w:r>
              <w:rPr>
                <w:rFonts w:hint="eastAsia" w:ascii="宋体" w:hAnsi="宋体"/>
                <w:szCs w:val="21"/>
              </w:rPr>
              <w:t>教师用椅子</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人体工程学椅背、高弹力网布椅面、带静音轮、黑色。</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5</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lang w:val="en-US" w:eastAsia="zh-CN"/>
              </w:rPr>
              <w:t>学术会议桌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加厚环保密度板，柚木色，桌面预留电源、投影、音频等接口。参考尺寸：5500×1500×50mm。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套</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6</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eastAsiaTheme="minorEastAsia" w:cstheme="minorBidi"/>
                <w:color w:val="auto"/>
                <w:sz w:val="22"/>
                <w:szCs w:val="21"/>
                <w:lang w:val="en-US" w:eastAsia="zh-CN" w:bidi="ar-SA"/>
              </w:rPr>
            </w:pPr>
            <w:r>
              <w:rPr>
                <w:rFonts w:hint="eastAsia" w:ascii="宋体" w:hAnsi="宋体"/>
                <w:color w:val="auto"/>
                <w:szCs w:val="21"/>
                <w:lang w:val="en-US" w:eastAsia="zh-CN"/>
              </w:rPr>
              <w:t>学术会议椅</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不锈钢框架，深色布艺座面，环保透气靠背。</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Cs w:val="21"/>
                <w:lang w:val="en-US" w:eastAsia="zh-CN"/>
              </w:rPr>
            </w:pPr>
            <w:r>
              <w:rPr>
                <w:rFonts w:hint="eastAsia" w:ascii="宋体" w:hAnsi="宋体" w:cs="宋体"/>
                <w:bCs/>
                <w:color w:val="000000"/>
                <w:szCs w:val="21"/>
                <w:lang w:val="en-US" w:eastAsia="zh-CN"/>
              </w:rPr>
              <w:t>把</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eastAsiaTheme="minorEastAsia"/>
                <w:szCs w:val="21"/>
                <w:lang w:val="en-US" w:eastAsia="zh-CN"/>
              </w:rPr>
            </w:pPr>
            <w:r>
              <w:rPr>
                <w:rFonts w:hint="eastAsia" w:ascii="宋体"/>
                <w:szCs w:val="21"/>
                <w:lang w:val="en-US" w:eastAsia="zh-CN"/>
              </w:rPr>
              <w:t>14</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cs="宋体" w:eastAsiaTheme="minorEastAsia"/>
                <w:b/>
                <w:bCs/>
                <w:color w:val="000000"/>
                <w:szCs w:val="21"/>
                <w:lang w:val="en-US" w:eastAsia="zh-CN"/>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7</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ascii="宋体"/>
                <w:szCs w:val="21"/>
              </w:rPr>
              <w:t>活动白板</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rPr>
            </w:pPr>
            <w:r>
              <w:rPr>
                <w:rFonts w:hint="eastAsia" w:ascii="新宋体" w:hAnsi="新宋体" w:eastAsia="新宋体" w:cs="宋体"/>
                <w:bCs/>
                <w:color w:val="000000"/>
                <w:sz w:val="20"/>
                <w:szCs w:val="20"/>
              </w:rPr>
              <w:t>支架式升降、可移动白板,双面磁性</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1</w:t>
            </w:r>
            <w:r>
              <w:rPr>
                <w:rFonts w:hint="eastAsia" w:ascii="新宋体" w:hAnsi="新宋体" w:eastAsia="新宋体" w:cs="宋体"/>
                <w:bCs/>
                <w:color w:val="000000"/>
                <w:sz w:val="20"/>
                <w:szCs w:val="20"/>
                <w:lang w:val="en-US" w:eastAsia="zh-CN"/>
              </w:rPr>
              <w:t>800×900mm。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r>
              <w:rPr>
                <w:rFonts w:hint="eastAsia" w:ascii="宋体" w:hAnsi="宋体" w:cs="宋体"/>
                <w:bCs/>
                <w:color w:val="000000"/>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8</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空调</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3P</w:t>
            </w:r>
          </w:p>
        </w:tc>
        <w:tc>
          <w:tcPr>
            <w:tcW w:w="1017" w:type="dxa"/>
            <w:vAlign w:val="center"/>
          </w:tcPr>
          <w:p>
            <w:pPr>
              <w:keepNext w:val="0"/>
              <w:keepLines w:val="0"/>
              <w:pageBreakBefore w:val="0"/>
              <w:widowControl/>
              <w:kinsoku/>
              <w:wordWrap w:val="0"/>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9</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学生座椅</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玻纤加厚一体成形，牛角椅，灰色。</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490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10</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单人桌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桌面浅胡桃色、桌架白色、带抽屉</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800</w:t>
            </w:r>
            <w:r>
              <w:rPr>
                <w:rFonts w:hint="eastAsia" w:ascii="新宋体" w:hAnsi="新宋体" w:eastAsia="新宋体" w:cs="宋体"/>
                <w:bCs/>
                <w:color w:val="000000"/>
                <w:sz w:val="20"/>
                <w:szCs w:val="20"/>
                <w:lang w:val="en-US" w:eastAsia="zh-CN"/>
              </w:rPr>
              <w:t>×5</w:t>
            </w:r>
            <w:r>
              <w:rPr>
                <w:rFonts w:hint="eastAsia" w:ascii="新宋体" w:hAnsi="新宋体" w:eastAsia="新宋体" w:cs="宋体"/>
                <w:bCs/>
                <w:color w:val="000000"/>
                <w:sz w:val="20"/>
                <w:szCs w:val="20"/>
              </w:rPr>
              <w:t>00</w:t>
            </w:r>
            <w:r>
              <w:rPr>
                <w:rFonts w:hint="eastAsia" w:ascii="新宋体" w:hAnsi="新宋体" w:eastAsia="新宋体" w:cs="宋体"/>
                <w:bCs/>
                <w:color w:val="000000"/>
                <w:sz w:val="20"/>
                <w:szCs w:val="20"/>
                <w:lang w:val="en-US" w:eastAsia="zh-CN"/>
              </w:rPr>
              <w:t>×</w:t>
            </w:r>
            <w:r>
              <w:rPr>
                <w:rFonts w:hint="eastAsia" w:ascii="新宋体" w:hAnsi="新宋体" w:eastAsia="新宋体" w:cs="宋体"/>
                <w:bCs/>
                <w:color w:val="000000"/>
                <w:sz w:val="20"/>
                <w:szCs w:val="20"/>
              </w:rPr>
              <w:t>740</w:t>
            </w:r>
            <w:r>
              <w:rPr>
                <w:rFonts w:hint="eastAsia" w:ascii="新宋体" w:hAnsi="新宋体" w:eastAsia="新宋体" w:cs="宋体"/>
                <w:bCs/>
                <w:color w:val="000000"/>
                <w:sz w:val="20"/>
                <w:szCs w:val="20"/>
                <w:lang w:val="en-US" w:eastAsia="zh-CN"/>
              </w:rPr>
              <w:t>mm</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420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1</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 w:val="20"/>
                <w:szCs w:val="20"/>
              </w:rPr>
            </w:pPr>
            <w:r>
              <w:rPr>
                <w:rFonts w:hint="eastAsia" w:ascii="宋体" w:hAnsi="宋体"/>
                <w:szCs w:val="21"/>
              </w:rPr>
              <w:t>钢化玻璃绘图桌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rPr>
              <w:t>五档桌面调节</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钢化玻璃面板</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六档高度可调</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左右拉伸副板</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带可折叠绘图灯</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1190</w:t>
            </w:r>
            <w:r>
              <w:rPr>
                <w:rFonts w:hint="eastAsia" w:ascii="新宋体" w:hAnsi="新宋体" w:eastAsia="新宋体" w:cs="宋体"/>
                <w:bCs/>
                <w:color w:val="000000"/>
                <w:sz w:val="20"/>
                <w:szCs w:val="20"/>
                <w:lang w:val="en-US" w:eastAsia="zh-CN"/>
              </w:rPr>
              <w:t>×</w:t>
            </w:r>
            <w:r>
              <w:rPr>
                <w:rFonts w:hint="eastAsia" w:ascii="新宋体" w:hAnsi="新宋体" w:eastAsia="新宋体" w:cs="宋体"/>
                <w:bCs/>
                <w:color w:val="000000"/>
                <w:sz w:val="20"/>
                <w:szCs w:val="20"/>
              </w:rPr>
              <w:t>600</w:t>
            </w:r>
            <w:r>
              <w:rPr>
                <w:rFonts w:hint="eastAsia" w:ascii="新宋体" w:hAnsi="新宋体" w:eastAsia="新宋体" w:cs="宋体"/>
                <w:bCs/>
                <w:color w:val="000000"/>
                <w:sz w:val="20"/>
                <w:szCs w:val="20"/>
                <w:lang w:val="en-US" w:eastAsia="zh-CN"/>
              </w:rPr>
              <w:t>×（</w:t>
            </w:r>
            <w:r>
              <w:rPr>
                <w:rFonts w:hint="eastAsia" w:ascii="新宋体" w:hAnsi="新宋体" w:eastAsia="新宋体" w:cs="宋体"/>
                <w:bCs/>
                <w:color w:val="000000"/>
                <w:sz w:val="20"/>
                <w:szCs w:val="20"/>
              </w:rPr>
              <w:t>780-930</w:t>
            </w:r>
            <w:r>
              <w:rPr>
                <w:rFonts w:hint="eastAsia" w:ascii="新宋体" w:hAnsi="新宋体" w:eastAsia="新宋体" w:cs="宋体"/>
                <w:bCs/>
                <w:color w:val="000000"/>
                <w:sz w:val="20"/>
                <w:szCs w:val="20"/>
                <w:lang w:val="en-US" w:eastAsia="zh-CN"/>
              </w:rPr>
              <w:t>）mm。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650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12</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新宋体" w:hAnsi="新宋体" w:eastAsia="新宋体" w:cs="宋体"/>
                <w:bCs/>
                <w:sz w:val="20"/>
                <w:szCs w:val="20"/>
              </w:rPr>
              <w:t>创意工作台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加厚环保密度板，原木色桌面、灰色桌腿。可安装电源与网络接口（桌面中间），参考尺寸：2400×120×25mm。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新宋体" w:hAnsi="新宋体" w:eastAsia="新宋体" w:cs="宋体"/>
                <w:bCs/>
                <w:sz w:val="20"/>
                <w:szCs w:val="20"/>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r>
              <w:rPr>
                <w:rFonts w:hint="eastAsia" w:ascii="新宋体" w:hAnsi="新宋体" w:eastAsia="新宋体" w:cs="宋体"/>
                <w:bCs/>
                <w:sz w:val="20"/>
                <w:szCs w:val="20"/>
              </w:rPr>
              <w:t>12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3</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大桌板</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免漆板包边（浅胡桃木色）</w:t>
            </w:r>
            <w:r>
              <w:rPr>
                <w:rFonts w:hint="eastAsia" w:ascii="新宋体" w:hAnsi="新宋体" w:eastAsia="新宋体" w:cs="宋体"/>
                <w:bCs/>
                <w:color w:val="000000"/>
                <w:sz w:val="20"/>
                <w:szCs w:val="20"/>
                <w:lang w:val="en-US" w:eastAsia="zh-CN"/>
              </w:rPr>
              <w:t>2400×1200mm。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90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lang w:eastAsia="zh-CN"/>
              </w:rPr>
            </w:pPr>
            <w:r>
              <w:rPr>
                <w:rFonts w:hint="eastAsia" w:ascii="新宋体" w:hAnsi="新宋体" w:eastAsia="新宋体" w:cs="宋体"/>
                <w:bCs/>
                <w:color w:val="000000"/>
                <w:szCs w:val="21"/>
              </w:rPr>
              <w:t>1</w:t>
            </w:r>
            <w:r>
              <w:rPr>
                <w:rFonts w:hint="eastAsia" w:ascii="新宋体" w:hAnsi="新宋体" w:eastAsia="新宋体" w:cs="宋体"/>
                <w:bCs/>
                <w:color w:val="000000"/>
                <w:szCs w:val="21"/>
                <w:lang w:val="en-US" w:eastAsia="zh-CN"/>
              </w:rPr>
              <w:t>4</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窗帘</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具体尺寸以现场测量为准</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滑轨方式</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按1：1.5制作窗帘褶皱</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颜色可选，布料要求防晒、遮光。耐摩擦色牢度：干摩≥4级，湿摩≥4级；耐光色牢度≥5级；厚度0.6-0.7mm;透气率：55-60mm/s</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间</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15</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both"/>
              <w:textAlignment w:val="auto"/>
              <w:rPr>
                <w:rFonts w:hint="eastAsia" w:ascii="新宋体" w:hAnsi="新宋体" w:eastAsia="新宋体" w:cs="宋体"/>
                <w:bCs/>
                <w:color w:val="000000"/>
                <w:szCs w:val="21"/>
              </w:rPr>
            </w:pPr>
            <w:r>
              <w:rPr>
                <w:rFonts w:hint="eastAsia" w:ascii="宋体" w:hAnsi="宋体" w:cs="宋体"/>
                <w:bCs/>
                <w:color w:val="000000"/>
                <w:szCs w:val="21"/>
                <w:lang w:val="en-US" w:eastAsia="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5</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风扇</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rPr>
              <w:t>吊扇</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直径1400mm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ind w:firstLine="880" w:firstLineChars="400"/>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38</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Cs/>
                <w:color w:val="000000"/>
                <w:szCs w:val="21"/>
              </w:rPr>
              <w:t>原有风扇利旧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6</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插座</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五孔带开关</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142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7</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其他</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材料转运、</w:t>
            </w:r>
            <w:r>
              <w:rPr>
                <w:rFonts w:hint="eastAsia" w:ascii="新宋体" w:hAnsi="新宋体" w:eastAsia="新宋体" w:cs="宋体"/>
                <w:bCs/>
                <w:color w:val="000000"/>
                <w:sz w:val="20"/>
                <w:szCs w:val="20"/>
              </w:rPr>
              <w:t>清洁、除渣、搬运等</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间</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885" w:type="dxa"/>
            <w:gridSpan w:val="9"/>
            <w:vAlign w:val="center"/>
          </w:tcPr>
          <w:p>
            <w:pPr>
              <w:keepNext w:val="0"/>
              <w:keepLines w:val="0"/>
              <w:pageBreakBefore w:val="0"/>
              <w:widowControl/>
              <w:kinsoku/>
              <w:wordWrap/>
              <w:overflowPunct/>
              <w:topLinePunct w:val="0"/>
              <w:autoSpaceDE/>
              <w:autoSpaceDN/>
              <w:bidi w:val="0"/>
              <w:adjustRightInd/>
              <w:snapToGrid/>
              <w:spacing w:before="80" w:after="80" w:line="240" w:lineRule="auto"/>
              <w:jc w:val="center"/>
              <w:textAlignment w:val="auto"/>
              <w:rPr>
                <w:rFonts w:hint="default" w:ascii="新宋体" w:hAnsi="新宋体" w:eastAsia="新宋体" w:cs="宋体"/>
                <w:b/>
                <w:bCs/>
                <w:color w:val="000000"/>
                <w:sz w:val="20"/>
                <w:szCs w:val="20"/>
                <w:lang w:val="en-US" w:eastAsia="zh-CN"/>
              </w:rPr>
            </w:pPr>
            <w:r>
              <w:rPr>
                <w:rFonts w:hint="eastAsia" w:ascii="新宋体" w:hAnsi="新宋体" w:eastAsia="新宋体" w:cs="宋体"/>
                <w:b/>
                <w:bCs/>
                <w:color w:val="000000"/>
                <w:sz w:val="20"/>
                <w:szCs w:val="20"/>
                <w:lang w:val="en-US" w:eastAsia="zh-CN"/>
              </w:rPr>
              <w:t xml:space="preserve">合计：大写           小写        </w:t>
            </w:r>
          </w:p>
        </w:tc>
      </w:tr>
    </w:tbl>
    <w:p>
      <w:pPr>
        <w:pStyle w:val="17"/>
        <w:spacing w:line="500" w:lineRule="exact"/>
        <w:ind w:firstLine="560" w:firstLineChars="200"/>
        <w:jc w:val="left"/>
        <w:rPr>
          <w:rFonts w:ascii="仿宋" w:hAnsi="仿宋" w:eastAsia="仿宋" w:cs="仿宋"/>
          <w:sz w:val="28"/>
          <w:szCs w:val="28"/>
        </w:rPr>
      </w:pPr>
      <w:r>
        <w:rPr>
          <w:rFonts w:hint="eastAsia" w:ascii="仿宋" w:hAnsi="仿宋" w:eastAsia="仿宋"/>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napToGrid w:val="0"/>
        <w:spacing w:after="0" w:line="360" w:lineRule="auto"/>
        <w:rPr>
          <w:rFonts w:ascii="仿宋" w:hAnsi="仿宋" w:eastAsia="仿宋" w:cs="仿宋"/>
          <w:sz w:val="28"/>
          <w:szCs w:val="28"/>
        </w:rPr>
      </w:pPr>
    </w:p>
    <w:p>
      <w:pPr>
        <w:snapToGrid w:val="0"/>
        <w:spacing w:after="0" w:line="360" w:lineRule="auto"/>
        <w:rPr>
          <w:rFonts w:ascii="仿宋" w:hAnsi="仿宋" w:eastAsia="仿宋" w:cs="仿宋"/>
          <w:sz w:val="28"/>
          <w:szCs w:val="28"/>
        </w:rPr>
        <w:sectPr>
          <w:headerReference r:id="rId9" w:type="first"/>
          <w:headerReference r:id="rId8" w:type="default"/>
          <w:pgSz w:w="16840" w:h="11907" w:orient="landscape"/>
          <w:pgMar w:top="1134" w:right="1134" w:bottom="1418" w:left="1134" w:header="283" w:footer="227" w:gutter="0"/>
          <w:cols w:space="425" w:num="1"/>
          <w:titlePg/>
          <w:docGrid w:type="lines" w:linePitch="312" w:charSpace="0"/>
        </w:sectPr>
      </w:pPr>
    </w:p>
    <w:p>
      <w:r>
        <w:drawing>
          <wp:anchor distT="0" distB="0" distL="114300" distR="114300" simplePos="0" relativeHeight="251659264" behindDoc="0" locked="0" layoutInCell="1" allowOverlap="1">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ascii="仿宋" w:hAnsi="仿宋" w:eastAsia="仿宋"/>
          <w:b/>
          <w:sz w:val="44"/>
          <w:szCs w:val="44"/>
        </w:rPr>
      </w:pPr>
      <w:r>
        <w:rPr>
          <w:rFonts w:hint="eastAsia" w:ascii="仿宋" w:hAnsi="仿宋" w:eastAsia="仿宋"/>
          <w:b/>
          <w:sz w:val="44"/>
          <w:szCs w:val="44"/>
        </w:rPr>
        <w:t>关于艺术学院专升本教室设备采购项目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0"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5" w:name="_Toc191783222"/>
      <w:bookmarkStart w:id="56" w:name="_Toc267059030"/>
      <w:bookmarkStart w:id="57" w:name="_Toc266870432"/>
      <w:bookmarkStart w:id="58" w:name="_Toc192664153"/>
      <w:bookmarkStart w:id="59" w:name="_Toc191789329"/>
      <w:bookmarkStart w:id="60" w:name="_Toc235438274"/>
      <w:bookmarkStart w:id="61" w:name="_Toc219800243"/>
      <w:bookmarkStart w:id="62" w:name="_Toc259520865"/>
      <w:bookmarkStart w:id="63" w:name="_Toc236021449"/>
      <w:bookmarkStart w:id="64" w:name="_Toc217891402"/>
      <w:bookmarkStart w:id="65" w:name="_Toc192663835"/>
      <w:bookmarkStart w:id="66" w:name="_Toc259692740"/>
      <w:bookmarkStart w:id="67" w:name="_Toc192663686"/>
      <w:bookmarkStart w:id="68" w:name="_Toc191802690"/>
      <w:bookmarkStart w:id="69" w:name="_Toc266870907"/>
      <w:bookmarkStart w:id="70" w:name="_Toc253066614"/>
      <w:bookmarkStart w:id="71" w:name="_Toc182805217"/>
      <w:bookmarkStart w:id="72" w:name="_Toc180302913"/>
      <w:bookmarkStart w:id="73" w:name="_Toc251613829"/>
      <w:bookmarkStart w:id="74" w:name="_Toc169332949"/>
      <w:bookmarkStart w:id="75" w:name="_Toc266868670"/>
      <w:bookmarkStart w:id="76" w:name="_Toc160880160"/>
      <w:bookmarkStart w:id="77" w:name="_Toc266870833"/>
      <w:bookmarkStart w:id="78" w:name="_Toc267059539"/>
      <w:bookmarkStart w:id="79" w:name="_Toc267059181"/>
      <w:bookmarkStart w:id="80" w:name="_Toc249325711"/>
      <w:bookmarkStart w:id="81" w:name="_Toc213756051"/>
      <w:bookmarkStart w:id="82" w:name="_Toc192996338"/>
      <w:bookmarkStart w:id="83" w:name="_Toc267060321"/>
      <w:bookmarkStart w:id="84" w:name="_Toc255975007"/>
      <w:bookmarkStart w:id="85" w:name="_Toc267060208"/>
      <w:bookmarkStart w:id="86" w:name="_Toc232302115"/>
      <w:bookmarkStart w:id="87" w:name="_Toc170798793"/>
      <w:bookmarkStart w:id="88" w:name="_Toc267059919"/>
      <w:bookmarkStart w:id="89" w:name="_Toc223146608"/>
      <w:bookmarkStart w:id="90" w:name="_Toc213755858"/>
      <w:bookmarkStart w:id="91" w:name="_Toc177985469"/>
      <w:bookmarkStart w:id="92" w:name="_Toc251586231"/>
      <w:bookmarkStart w:id="93" w:name="_Toc258401256"/>
      <w:bookmarkStart w:id="94" w:name="_Toc193160448"/>
      <w:bookmarkStart w:id="95" w:name="_Toc267060068"/>
      <w:bookmarkStart w:id="96" w:name="_Toc193165734"/>
      <w:bookmarkStart w:id="97" w:name="_Toc227058530"/>
      <w:bookmarkStart w:id="98" w:name="_Toc213755995"/>
      <w:bookmarkStart w:id="99" w:name="_Toc235437991"/>
      <w:bookmarkStart w:id="100" w:name="_Toc230071147"/>
      <w:bookmarkStart w:id="101" w:name="_Toc181436565"/>
      <w:bookmarkStart w:id="102" w:name="_Toc267059653"/>
      <w:bookmarkStart w:id="103" w:name="_Toc181436461"/>
      <w:bookmarkStart w:id="104" w:name="_Toc225669322"/>
      <w:bookmarkStart w:id="105" w:name="_Toc273178698"/>
      <w:bookmarkStart w:id="106" w:name="_Toc211917116"/>
      <w:bookmarkStart w:id="107" w:name="_Toc235438344"/>
      <w:bookmarkStart w:id="108" w:name="_Toc266868937"/>
      <w:bookmarkStart w:id="109" w:name="_Toc254790899"/>
      <w:bookmarkStart w:id="110" w:name="_Toc191803626"/>
      <w:bookmarkStart w:id="111" w:name="_Toc169332838"/>
      <w:bookmarkStart w:id="112" w:name="_Toc203355733"/>
      <w:bookmarkStart w:id="113" w:name="_Toc213208766"/>
      <w:bookmarkStart w:id="114" w:name="_Toc259692647"/>
      <w:bookmarkStart w:id="115" w:name="_Toc267059806"/>
      <w:bookmarkStart w:id="116" w:name="_Toc192996446"/>
      <w:bookmarkStart w:id="117" w:name="_Toc213755939"/>
      <w:bookmarkStart w:id="118" w:name="_Toc160880529"/>
      <w:bookmarkStart w:id="119" w:name="_Toc182372782"/>
      <w:bookmarkStart w:id="120" w:name="_Toc267060453"/>
      <w:r>
        <w:rPr>
          <w:rFonts w:hint="eastAsia" w:ascii="仿宋" w:hAnsi="仿宋" w:eastAsia="仿宋"/>
          <w:b/>
          <w:bCs/>
          <w:sz w:val="28"/>
          <w:szCs w:val="28"/>
        </w:rPr>
        <w:t>1、</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1" w:name="_Hlk47536799"/>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根据贵方渝北校区档案设备采购项目的公开询价邀请（编号）:</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提交下述文件正本1份和副本1份。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质保和后期服务承诺书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ascii="仿宋" w:hAnsi="仿宋" w:eastAsia="仿宋"/>
          <w:sz w:val="28"/>
          <w:szCs w:val="28"/>
          <w:u w:val="single"/>
        </w:rPr>
        <w:t xml:space="preserve">                  </w:t>
      </w:r>
      <w:r>
        <w:rPr>
          <w:rFonts w:hint="eastAsia" w:ascii="仿宋" w:hAnsi="仿宋" w:eastAsia="仿宋"/>
          <w:sz w:val="28"/>
          <w:szCs w:val="28"/>
        </w:rPr>
        <w:t>，即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（中文表述）</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ascii="仿宋" w:hAnsi="仿宋" w:eastAsia="仿宋"/>
          <w:sz w:val="28"/>
          <w:szCs w:val="28"/>
        </w:rPr>
        <w:t xml:space="preserve">             </w:t>
      </w:r>
      <w:r>
        <w:rPr>
          <w:rFonts w:hint="eastAsia" w:ascii="仿宋" w:hAnsi="仿宋" w:eastAsia="仿宋"/>
          <w:sz w:val="28"/>
          <w:szCs w:val="28"/>
        </w:rPr>
        <w:t xml:space="preserve">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ascii="仿宋" w:hAnsi="仿宋" w:eastAsia="仿宋"/>
          <w:sz w:val="28"/>
          <w:szCs w:val="28"/>
        </w:rPr>
        <w:t xml:space="preserve">             </w:t>
      </w:r>
      <w:r>
        <w:rPr>
          <w:rFonts w:hint="eastAsia" w:ascii="仿宋" w:hAnsi="仿宋" w:eastAsia="仿宋"/>
          <w:sz w:val="28"/>
          <w:szCs w:val="28"/>
        </w:rPr>
        <w:t xml:space="preserve">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62"/>
        <w:spacing w:line="480" w:lineRule="exact"/>
        <w:jc w:val="left"/>
        <w:outlineLvl w:val="9"/>
        <w:rPr>
          <w:rFonts w:ascii="仿宋" w:hAnsi="仿宋" w:eastAsia="仿宋"/>
          <w:szCs w:val="28"/>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Cs w:val="28"/>
        </w:rPr>
        <w:t xml:space="preserve">      日  期： </w:t>
      </w:r>
      <w:r>
        <w:rPr>
          <w:rFonts w:ascii="仿宋" w:hAnsi="仿宋" w:eastAsia="仿宋"/>
          <w:szCs w:val="28"/>
        </w:rPr>
        <w:t xml:space="preserve"> </w:t>
      </w:r>
      <w:r>
        <w:rPr>
          <w:rFonts w:hint="eastAsia" w:ascii="仿宋" w:hAnsi="仿宋" w:eastAsia="仿宋"/>
          <w:szCs w:val="28"/>
        </w:rPr>
        <w:t xml:space="preserve">年 </w:t>
      </w:r>
      <w:r>
        <w:rPr>
          <w:rFonts w:ascii="仿宋" w:hAnsi="仿宋" w:eastAsia="仿宋"/>
          <w:szCs w:val="28"/>
        </w:rPr>
        <w:t xml:space="preserve"> </w:t>
      </w:r>
      <w:r>
        <w:rPr>
          <w:rFonts w:hint="eastAsia" w:ascii="仿宋" w:hAnsi="仿宋" w:eastAsia="仿宋"/>
          <w:szCs w:val="28"/>
        </w:rPr>
        <w:t>月  日</w:t>
      </w:r>
      <w:bookmarkEnd w:id="121"/>
    </w:p>
    <w:p>
      <w:pPr>
        <w:spacing w:after="0"/>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、货物报价一览表</w:t>
      </w:r>
    </w:p>
    <w:p>
      <w:pPr>
        <w:spacing w:after="161" w:afterLines="50" w:line="400" w:lineRule="exact"/>
        <w:ind w:left="147" w:leftChars="67"/>
        <w:rPr>
          <w:rFonts w:ascii="仿宋" w:hAnsi="仿宋" w:eastAsia="仿宋"/>
          <w:sz w:val="28"/>
          <w:szCs w:val="28"/>
        </w:rPr>
      </w:pPr>
      <w:bookmarkStart w:id="122" w:name="_Toc191802695"/>
      <w:bookmarkStart w:id="123" w:name="_Toc267060076"/>
      <w:bookmarkStart w:id="124" w:name="_Toc267060216"/>
      <w:bookmarkStart w:id="125" w:name="_Toc266870441"/>
      <w:bookmarkStart w:id="126" w:name="_Toc258401265"/>
      <w:bookmarkStart w:id="127" w:name="_Toc181436466"/>
      <w:bookmarkStart w:id="128" w:name="_Toc259692656"/>
      <w:bookmarkStart w:id="129" w:name="_Toc266870839"/>
      <w:bookmarkStart w:id="130" w:name="_Toc182805222"/>
      <w:bookmarkStart w:id="131" w:name="_Toc253066624"/>
      <w:bookmarkStart w:id="132" w:name="_Toc223146614"/>
      <w:bookmarkStart w:id="133" w:name="_Toc267059035"/>
      <w:bookmarkStart w:id="134" w:name="_Toc259692749"/>
      <w:bookmarkStart w:id="135" w:name="_Toc267060461"/>
      <w:bookmarkStart w:id="136" w:name="_Toc230071153"/>
      <w:bookmarkStart w:id="137" w:name="_Toc192663691"/>
      <w:bookmarkStart w:id="138" w:name="_Toc251586241"/>
      <w:bookmarkStart w:id="139" w:name="_Toc219800249"/>
      <w:bookmarkStart w:id="140" w:name="_Toc160880534"/>
      <w:bookmarkStart w:id="141" w:name="_Toc232302122"/>
      <w:bookmarkStart w:id="142" w:name="_Toc213756001"/>
      <w:bookmarkStart w:id="143" w:name="_Toc267059186"/>
      <w:bookmarkStart w:id="144" w:name="_Toc273178703"/>
      <w:bookmarkStart w:id="145" w:name="_Toc254790909"/>
      <w:bookmarkStart w:id="146" w:name="_Toc170798798"/>
      <w:bookmarkStart w:id="147" w:name="_Toc177985474"/>
      <w:bookmarkStart w:id="148" w:name="_Toc267059811"/>
      <w:bookmarkStart w:id="149" w:name="_Toc203355738"/>
      <w:bookmarkStart w:id="150" w:name="_Toc169332843"/>
      <w:bookmarkStart w:id="151" w:name="_Toc266870916"/>
      <w:bookmarkStart w:id="152" w:name="_Toc193165739"/>
      <w:bookmarkStart w:id="153" w:name="_Toc211917121"/>
      <w:bookmarkStart w:id="154" w:name="_Toc191783227"/>
      <w:bookmarkStart w:id="155" w:name="_Toc191789334"/>
      <w:bookmarkStart w:id="156" w:name="_Toc267059658"/>
      <w:bookmarkStart w:id="157" w:name="_Toc251613839"/>
      <w:bookmarkStart w:id="158" w:name="_Toc225669328"/>
      <w:bookmarkStart w:id="159" w:name="_Toc255975016"/>
      <w:bookmarkStart w:id="160" w:name="_Toc267060326"/>
      <w:bookmarkStart w:id="161" w:name="_Toc227058536"/>
      <w:bookmarkStart w:id="162" w:name="_Toc213755945"/>
      <w:bookmarkStart w:id="163" w:name="_Toc235438352"/>
      <w:bookmarkStart w:id="164" w:name="_Toc192996343"/>
      <w:bookmarkStart w:id="165" w:name="_Toc182372787"/>
      <w:bookmarkStart w:id="166" w:name="_Toc213208771"/>
      <w:bookmarkStart w:id="167" w:name="_Toc217891408"/>
      <w:bookmarkStart w:id="168" w:name="_Toc266868943"/>
      <w:bookmarkStart w:id="169" w:name="_Toc266868679"/>
      <w:bookmarkStart w:id="170" w:name="_Toc192664158"/>
      <w:bookmarkStart w:id="171" w:name="_Toc267059924"/>
      <w:bookmarkStart w:id="172" w:name="_Toc193160453"/>
      <w:bookmarkStart w:id="173" w:name="_Toc160880165"/>
      <w:bookmarkStart w:id="174" w:name="_Toc235438281"/>
      <w:bookmarkStart w:id="175" w:name="_Toc249325720"/>
      <w:bookmarkStart w:id="176" w:name="_Toc169332954"/>
      <w:bookmarkStart w:id="177" w:name="_Toc213755864"/>
      <w:bookmarkStart w:id="178" w:name="_Toc236021457"/>
      <w:bookmarkStart w:id="179" w:name="_Toc191803631"/>
      <w:bookmarkStart w:id="180" w:name="_Toc180302918"/>
      <w:bookmarkStart w:id="181" w:name="_Toc259520874"/>
      <w:bookmarkStart w:id="182" w:name="_Toc235437998"/>
      <w:bookmarkStart w:id="183" w:name="_Toc192663840"/>
      <w:bookmarkStart w:id="184" w:name="_Toc213756057"/>
      <w:bookmarkStart w:id="185" w:name="_Toc267059544"/>
      <w:bookmarkStart w:id="186" w:name="_Toc192996451"/>
      <w:bookmarkStart w:id="187" w:name="_Toc181436570"/>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after="161" w:afterLines="50" w:line="40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6"/>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12"/>
        <w:gridCol w:w="4482"/>
        <w:gridCol w:w="1017"/>
        <w:gridCol w:w="1017"/>
        <w:gridCol w:w="1035"/>
        <w:gridCol w:w="1197"/>
        <w:gridCol w:w="124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序号</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产品名称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技术参数</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
                <w:bCs/>
                <w:color w:val="000000"/>
                <w:sz w:val="20"/>
                <w:szCs w:val="20"/>
                <w:lang w:val="en-US" w:eastAsia="zh-CN"/>
              </w:rPr>
            </w:pPr>
            <w:r>
              <w:rPr>
                <w:rFonts w:hint="eastAsia" w:ascii="新宋体" w:hAnsi="新宋体" w:eastAsia="新宋体" w:cs="宋体"/>
                <w:b/>
                <w:bCs/>
                <w:color w:val="000000"/>
                <w:sz w:val="20"/>
                <w:szCs w:val="20"/>
                <w:lang w:val="en-US" w:eastAsia="zh-CN"/>
              </w:rPr>
              <w:t>品牌</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单位</w:t>
            </w:r>
          </w:p>
        </w:tc>
        <w:tc>
          <w:tcPr>
            <w:tcW w:w="1035"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数量</w:t>
            </w:r>
          </w:p>
        </w:tc>
        <w:tc>
          <w:tcPr>
            <w:tcW w:w="119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单价</w:t>
            </w:r>
          </w:p>
        </w:tc>
        <w:tc>
          <w:tcPr>
            <w:tcW w:w="124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小计</w:t>
            </w: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szCs w:val="21"/>
              </w:rPr>
            </w:pPr>
            <w:r>
              <w:rPr>
                <w:rFonts w:hint="eastAsia" w:ascii="宋体" w:hAnsi="宋体" w:cs="宋体"/>
                <w:bCs/>
                <w:szCs w:val="21"/>
              </w:rPr>
              <w:t>1</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便携式投影仪</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分辨率：1024*768，亮度：4000流明，对比度2500000：1激光投影</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auto"/>
              <w:textAlignment w:val="auto"/>
              <w:rPr>
                <w:rFonts w:hint="eastAsia" w:ascii="新宋体" w:hAnsi="新宋体" w:eastAsia="新宋体" w:cs="宋体"/>
                <w:bCs/>
                <w:color w:val="000000"/>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新宋体" w:hAnsi="新宋体" w:eastAsia="新宋体" w:cs="宋体"/>
                <w:bCs/>
                <w:color w:val="000000"/>
                <w:sz w:val="20"/>
                <w:szCs w:val="20"/>
              </w:rPr>
            </w:pPr>
            <w:r>
              <w:rPr>
                <w:rFonts w:hint="eastAsia" w:ascii="新宋体" w:hAnsi="新宋体" w:eastAsia="新宋体" w:cs="宋体"/>
                <w:bCs/>
                <w:color w:val="000000"/>
                <w:sz w:val="20"/>
                <w:szCs w:val="20"/>
              </w:rPr>
              <w:t>12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新宋体" w:hAnsi="新宋体" w:eastAsia="新宋体" w:cs="宋体"/>
                <w:bCs/>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szCs w:val="21"/>
              </w:rPr>
            </w:pPr>
            <w:r>
              <w:rPr>
                <w:rFonts w:hint="eastAsia" w:ascii="宋体" w:hAnsi="宋体" w:cs="宋体"/>
                <w:bCs/>
                <w:szCs w:val="21"/>
              </w:rPr>
              <w:t>2</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教师用工作台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厚加厚环保密度板，可安装电源（侧面）。原木色桌面、灰色桌腿、边缘需封包。参考尺寸：1400×800×250mm。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3</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eastAsiaTheme="minorEastAsia" w:cstheme="minorBidi"/>
                <w:color w:val="auto"/>
                <w:sz w:val="22"/>
                <w:szCs w:val="21"/>
                <w:lang w:val="en-US" w:eastAsia="zh-CN" w:bidi="ar-SA"/>
              </w:rPr>
            </w:pPr>
            <w:r>
              <w:rPr>
                <w:rFonts w:hint="eastAsia" w:ascii="宋体" w:hAnsi="宋体"/>
                <w:color w:val="auto"/>
                <w:szCs w:val="21"/>
                <w:lang w:val="en-US" w:eastAsia="zh-CN"/>
              </w:rPr>
              <w:t>教师工作台储物柜</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厚加厚环保密度板，可安装交换机，原木色桌面、灰色桌腿、边缘需封包。参考尺寸：400×600×600mm。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eastAsiaTheme="minorEastAsia"/>
                <w:szCs w:val="21"/>
                <w:lang w:val="en-US" w:eastAsia="zh-CN"/>
              </w:rPr>
            </w:pPr>
            <w:r>
              <w:rPr>
                <w:rFonts w:hint="eastAsia" w:ascii="宋体" w:hAnsi="宋体"/>
                <w:szCs w:val="21"/>
                <w:lang w:val="en-US" w:eastAsia="zh-CN"/>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eastAsiaTheme="minorEastAsia"/>
                <w:szCs w:val="21"/>
                <w:lang w:val="en-US" w:eastAsia="zh-CN"/>
              </w:rPr>
            </w:pPr>
            <w:r>
              <w:rPr>
                <w:rFonts w:hint="eastAsia" w:ascii="宋体" w:hAnsi="宋体"/>
                <w:szCs w:val="21"/>
                <w:lang w:val="en-US" w:eastAsia="zh-CN"/>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4</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szCs w:val="21"/>
              </w:rPr>
            </w:pPr>
            <w:r>
              <w:rPr>
                <w:rFonts w:hint="eastAsia" w:ascii="宋体" w:hAnsi="宋体"/>
                <w:szCs w:val="21"/>
              </w:rPr>
              <w:t>教师用椅子</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人体工程学椅背、高弹力网布椅面、带静音轮、黑色。</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5</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lang w:val="en-US" w:eastAsia="zh-CN"/>
              </w:rPr>
              <w:t>学术会议桌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加厚环保密度板，柚木色，桌面预留电源、投影、音频等接口。参考尺寸：5500×1500×50mm。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套</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6</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eastAsiaTheme="minorEastAsia" w:cstheme="minorBidi"/>
                <w:color w:val="auto"/>
                <w:sz w:val="22"/>
                <w:szCs w:val="21"/>
                <w:lang w:val="en-US" w:eastAsia="zh-CN" w:bidi="ar-SA"/>
              </w:rPr>
            </w:pPr>
            <w:r>
              <w:rPr>
                <w:rFonts w:hint="eastAsia" w:ascii="宋体" w:hAnsi="宋体"/>
                <w:color w:val="auto"/>
                <w:szCs w:val="21"/>
                <w:lang w:val="en-US" w:eastAsia="zh-CN"/>
              </w:rPr>
              <w:t>学术会议椅</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不锈钢框架，深色布艺座面，环保透气靠背。</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Cs w:val="21"/>
                <w:lang w:val="en-US" w:eastAsia="zh-CN"/>
              </w:rPr>
            </w:pPr>
            <w:r>
              <w:rPr>
                <w:rFonts w:hint="eastAsia" w:ascii="宋体" w:hAnsi="宋体" w:cs="宋体"/>
                <w:bCs/>
                <w:color w:val="000000"/>
                <w:szCs w:val="21"/>
                <w:lang w:val="en-US" w:eastAsia="zh-CN"/>
              </w:rPr>
              <w:t>把</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eastAsiaTheme="minorEastAsia"/>
                <w:szCs w:val="21"/>
                <w:lang w:val="en-US" w:eastAsia="zh-CN"/>
              </w:rPr>
            </w:pPr>
            <w:r>
              <w:rPr>
                <w:rFonts w:hint="eastAsia" w:ascii="宋体"/>
                <w:szCs w:val="21"/>
                <w:lang w:val="en-US" w:eastAsia="zh-CN"/>
              </w:rPr>
              <w:t>14</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7</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ascii="宋体"/>
                <w:szCs w:val="21"/>
              </w:rPr>
              <w:t>活动白板</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rPr>
            </w:pPr>
            <w:r>
              <w:rPr>
                <w:rFonts w:hint="eastAsia" w:ascii="新宋体" w:hAnsi="新宋体" w:eastAsia="新宋体" w:cs="宋体"/>
                <w:bCs/>
                <w:color w:val="000000"/>
                <w:sz w:val="20"/>
                <w:szCs w:val="20"/>
              </w:rPr>
              <w:t>支架式升降、可移动白板,双面磁性</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1</w:t>
            </w:r>
            <w:r>
              <w:rPr>
                <w:rFonts w:hint="eastAsia" w:ascii="新宋体" w:hAnsi="新宋体" w:eastAsia="新宋体" w:cs="宋体"/>
                <w:bCs/>
                <w:color w:val="000000"/>
                <w:sz w:val="20"/>
                <w:szCs w:val="20"/>
                <w:lang w:val="en-US" w:eastAsia="zh-CN"/>
              </w:rPr>
              <w:t>800×900mm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r>
              <w:rPr>
                <w:rFonts w:hint="eastAsia" w:ascii="宋体" w:hAnsi="宋体" w:cs="宋体"/>
                <w:bCs/>
                <w:color w:val="000000"/>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8</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空调</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3P</w:t>
            </w:r>
          </w:p>
        </w:tc>
        <w:tc>
          <w:tcPr>
            <w:tcW w:w="1017" w:type="dxa"/>
            <w:vAlign w:val="center"/>
          </w:tcPr>
          <w:p>
            <w:pPr>
              <w:keepNext w:val="0"/>
              <w:keepLines w:val="0"/>
              <w:pageBreakBefore w:val="0"/>
              <w:widowControl/>
              <w:kinsoku/>
              <w:wordWrap w:val="0"/>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9</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学生座椅</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玻纤加厚一体成形，牛角椅，灰色</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490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10</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单人桌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桌面浅胡桃色、桌架白色、带抽屉</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800</w:t>
            </w:r>
            <w:r>
              <w:rPr>
                <w:rFonts w:hint="eastAsia" w:ascii="新宋体" w:hAnsi="新宋体" w:eastAsia="新宋体" w:cs="宋体"/>
                <w:bCs/>
                <w:color w:val="000000"/>
                <w:sz w:val="20"/>
                <w:szCs w:val="20"/>
                <w:lang w:val="en-US" w:eastAsia="zh-CN"/>
              </w:rPr>
              <w:t>×5</w:t>
            </w:r>
            <w:r>
              <w:rPr>
                <w:rFonts w:hint="eastAsia" w:ascii="新宋体" w:hAnsi="新宋体" w:eastAsia="新宋体" w:cs="宋体"/>
                <w:bCs/>
                <w:color w:val="000000"/>
                <w:sz w:val="20"/>
                <w:szCs w:val="20"/>
              </w:rPr>
              <w:t>00</w:t>
            </w:r>
            <w:r>
              <w:rPr>
                <w:rFonts w:hint="eastAsia" w:ascii="新宋体" w:hAnsi="新宋体" w:eastAsia="新宋体" w:cs="宋体"/>
                <w:bCs/>
                <w:color w:val="000000"/>
                <w:sz w:val="20"/>
                <w:szCs w:val="20"/>
                <w:lang w:val="en-US" w:eastAsia="zh-CN"/>
              </w:rPr>
              <w:t>×</w:t>
            </w:r>
            <w:r>
              <w:rPr>
                <w:rFonts w:hint="eastAsia" w:ascii="新宋体" w:hAnsi="新宋体" w:eastAsia="新宋体" w:cs="宋体"/>
                <w:bCs/>
                <w:color w:val="000000"/>
                <w:sz w:val="20"/>
                <w:szCs w:val="20"/>
              </w:rPr>
              <w:t>740</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420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1</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 w:val="20"/>
                <w:szCs w:val="20"/>
              </w:rPr>
            </w:pPr>
            <w:r>
              <w:rPr>
                <w:rFonts w:hint="eastAsia" w:ascii="宋体" w:hAnsi="宋体"/>
                <w:szCs w:val="21"/>
              </w:rPr>
              <w:t>钢化玻璃绘图桌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rPr>
              <w:t>五档桌面调节</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钢化玻璃面板</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六档高度可调</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左右拉伸副板</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带可折叠绘图灯</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1190</w:t>
            </w:r>
            <w:r>
              <w:rPr>
                <w:rFonts w:hint="eastAsia" w:ascii="新宋体" w:hAnsi="新宋体" w:eastAsia="新宋体" w:cs="宋体"/>
                <w:bCs/>
                <w:color w:val="000000"/>
                <w:sz w:val="20"/>
                <w:szCs w:val="20"/>
                <w:lang w:val="en-US" w:eastAsia="zh-CN"/>
              </w:rPr>
              <w:t>×</w:t>
            </w:r>
            <w:r>
              <w:rPr>
                <w:rFonts w:hint="eastAsia" w:ascii="新宋体" w:hAnsi="新宋体" w:eastAsia="新宋体" w:cs="宋体"/>
                <w:bCs/>
                <w:color w:val="000000"/>
                <w:sz w:val="20"/>
                <w:szCs w:val="20"/>
              </w:rPr>
              <w:t>600</w:t>
            </w:r>
            <w:r>
              <w:rPr>
                <w:rFonts w:hint="eastAsia" w:ascii="新宋体" w:hAnsi="新宋体" w:eastAsia="新宋体" w:cs="宋体"/>
                <w:bCs/>
                <w:color w:val="000000"/>
                <w:sz w:val="20"/>
                <w:szCs w:val="20"/>
                <w:lang w:val="en-US" w:eastAsia="zh-CN"/>
              </w:rPr>
              <w:t>×（</w:t>
            </w:r>
            <w:r>
              <w:rPr>
                <w:rFonts w:hint="eastAsia" w:ascii="新宋体" w:hAnsi="新宋体" w:eastAsia="新宋体" w:cs="宋体"/>
                <w:bCs/>
                <w:color w:val="000000"/>
                <w:sz w:val="20"/>
                <w:szCs w:val="20"/>
              </w:rPr>
              <w:t>780-930</w:t>
            </w:r>
            <w:r>
              <w:rPr>
                <w:rFonts w:hint="eastAsia" w:ascii="新宋体" w:hAnsi="新宋体" w:eastAsia="新宋体" w:cs="宋体"/>
                <w:bCs/>
                <w:color w:val="000000"/>
                <w:sz w:val="20"/>
                <w:szCs w:val="20"/>
                <w:lang w:val="en-US" w:eastAsia="zh-CN"/>
              </w:rPr>
              <w:t>）mm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650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12</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新宋体" w:hAnsi="新宋体" w:eastAsia="新宋体" w:cs="宋体"/>
                <w:bCs/>
                <w:sz w:val="20"/>
                <w:szCs w:val="20"/>
              </w:rPr>
              <w:t>创意工作台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加厚环保密度板，原木色桌面、灰色桌腿。可安装电源与网络接口（桌面中间），参考尺寸：2400×120×25mm。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新宋体" w:hAnsi="新宋体" w:eastAsia="新宋体" w:cs="宋体"/>
                <w:bCs/>
                <w:sz w:val="20"/>
                <w:szCs w:val="20"/>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r>
              <w:rPr>
                <w:rFonts w:hint="eastAsia" w:ascii="新宋体" w:hAnsi="新宋体" w:eastAsia="新宋体" w:cs="宋体"/>
                <w:bCs/>
                <w:sz w:val="20"/>
                <w:szCs w:val="20"/>
              </w:rPr>
              <w:t>12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3</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大桌板</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免漆板包边（浅胡桃木色）</w:t>
            </w:r>
            <w:r>
              <w:rPr>
                <w:rFonts w:hint="eastAsia" w:ascii="新宋体" w:hAnsi="新宋体" w:eastAsia="新宋体" w:cs="宋体"/>
                <w:bCs/>
                <w:color w:val="000000"/>
                <w:sz w:val="20"/>
                <w:szCs w:val="20"/>
                <w:lang w:val="en-US" w:eastAsia="zh-CN"/>
              </w:rPr>
              <w:t>2400×1200mm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90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lang w:eastAsia="zh-CN"/>
              </w:rPr>
            </w:pPr>
            <w:r>
              <w:rPr>
                <w:rFonts w:hint="eastAsia" w:ascii="新宋体" w:hAnsi="新宋体" w:eastAsia="新宋体" w:cs="宋体"/>
                <w:bCs/>
                <w:color w:val="000000"/>
                <w:szCs w:val="21"/>
              </w:rPr>
              <w:t>1</w:t>
            </w:r>
            <w:r>
              <w:rPr>
                <w:rFonts w:hint="eastAsia" w:ascii="新宋体" w:hAnsi="新宋体" w:eastAsia="新宋体" w:cs="宋体"/>
                <w:bCs/>
                <w:color w:val="000000"/>
                <w:szCs w:val="21"/>
                <w:lang w:val="en-US" w:eastAsia="zh-CN"/>
              </w:rPr>
              <w:t>4</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窗帘</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具体尺寸以现场测量为准</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滑轨方式</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按1：1.5制作窗帘褶皱</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颜色可选，布料要求防晒、遮光。耐摩擦色牢度：干摩≥4级，湿摩≥4级；耐光色牢度≥5级；厚度0.6-0.7mm;透气率：55-60mm/s</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间</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15</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both"/>
              <w:textAlignment w:val="auto"/>
              <w:rPr>
                <w:rFonts w:hint="eastAsia" w:ascii="新宋体" w:hAnsi="新宋体" w:eastAsia="新宋体" w:cs="宋体"/>
                <w:bCs/>
                <w:color w:val="000000"/>
                <w:szCs w:val="21"/>
              </w:rPr>
            </w:pPr>
            <w:r>
              <w:rPr>
                <w:rFonts w:hint="eastAsia" w:ascii="宋体" w:hAnsi="宋体" w:cs="宋体"/>
                <w:bCs/>
                <w:color w:val="000000"/>
                <w:szCs w:val="21"/>
                <w:lang w:val="en-US" w:eastAsia="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5</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风扇</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rPr>
              <w:t>吊扇</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直径1400mm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ind w:firstLine="880" w:firstLineChars="400"/>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38</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Cs/>
                <w:color w:val="000000"/>
                <w:szCs w:val="21"/>
              </w:rPr>
              <w:t>原有风扇利旧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6</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插座</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五孔带开关</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142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7</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其他</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材料转运、</w:t>
            </w:r>
            <w:r>
              <w:rPr>
                <w:rFonts w:hint="eastAsia" w:ascii="新宋体" w:hAnsi="新宋体" w:eastAsia="新宋体" w:cs="宋体"/>
                <w:bCs/>
                <w:color w:val="000000"/>
                <w:sz w:val="20"/>
                <w:szCs w:val="20"/>
              </w:rPr>
              <w:t>清洁、除渣、搬运等</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间</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885" w:type="dxa"/>
            <w:gridSpan w:val="9"/>
            <w:vAlign w:val="center"/>
          </w:tcPr>
          <w:p>
            <w:pPr>
              <w:keepNext w:val="0"/>
              <w:keepLines w:val="0"/>
              <w:pageBreakBefore w:val="0"/>
              <w:widowControl/>
              <w:kinsoku/>
              <w:wordWrap/>
              <w:overflowPunct/>
              <w:topLinePunct w:val="0"/>
              <w:autoSpaceDE/>
              <w:autoSpaceDN/>
              <w:bidi w:val="0"/>
              <w:adjustRightInd/>
              <w:snapToGrid/>
              <w:spacing w:before="80" w:after="80" w:line="240" w:lineRule="auto"/>
              <w:jc w:val="center"/>
              <w:textAlignment w:val="auto"/>
              <w:rPr>
                <w:rFonts w:hint="default" w:ascii="新宋体" w:hAnsi="新宋体" w:eastAsia="新宋体" w:cs="宋体"/>
                <w:b/>
                <w:bCs/>
                <w:color w:val="000000"/>
                <w:sz w:val="20"/>
                <w:szCs w:val="20"/>
                <w:lang w:val="en-US" w:eastAsia="zh-CN"/>
              </w:rPr>
            </w:pPr>
            <w:r>
              <w:rPr>
                <w:rFonts w:hint="eastAsia" w:ascii="新宋体" w:hAnsi="新宋体" w:eastAsia="新宋体" w:cs="宋体"/>
                <w:b/>
                <w:bCs/>
                <w:color w:val="000000"/>
                <w:sz w:val="20"/>
                <w:szCs w:val="20"/>
                <w:lang w:val="en-US" w:eastAsia="zh-CN"/>
              </w:rPr>
              <w:t xml:space="preserve">合计：大写           小写        </w:t>
            </w:r>
          </w:p>
        </w:tc>
      </w:tr>
    </w:tbl>
    <w:p>
      <w:pPr>
        <w:spacing w:after="0" w:line="360" w:lineRule="exact"/>
        <w:rPr>
          <w:rFonts w:ascii="仿宋" w:hAnsi="仿宋" w:eastAsia="仿宋"/>
          <w:sz w:val="24"/>
          <w:szCs w:val="24"/>
          <w:lang w:val="zh-CN"/>
        </w:rPr>
      </w:pPr>
      <w:r>
        <w:rPr>
          <w:rFonts w:hint="eastAsia" w:ascii="仿宋" w:hAnsi="仿宋" w:eastAsia="仿宋"/>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pacing w:after="0" w:line="360" w:lineRule="exact"/>
        <w:rPr>
          <w:rFonts w:ascii="仿宋" w:hAnsi="仿宋" w:eastAsia="仿宋"/>
          <w:sz w:val="24"/>
          <w:szCs w:val="24"/>
          <w:lang w:val="zh-CN"/>
        </w:rPr>
      </w:pPr>
      <w:r>
        <w:rPr>
          <w:rFonts w:hint="eastAsia" w:ascii="仿宋" w:hAnsi="仿宋" w:eastAsia="仿宋"/>
          <w:sz w:val="24"/>
          <w:szCs w:val="24"/>
        </w:rPr>
        <w:t>2</w:t>
      </w:r>
      <w:r>
        <w:rPr>
          <w:rFonts w:hint="eastAsia" w:ascii="仿宋" w:hAnsi="仿宋" w:eastAsia="仿宋"/>
          <w:sz w:val="24"/>
          <w:szCs w:val="24"/>
          <w:lang w:val="zh-CN"/>
        </w:rPr>
        <w:t>、此表正本与磋商响应文件正、副本一同装在单独的信封内密封。但响应文件正本中仍需提供。</w:t>
      </w:r>
    </w:p>
    <w:p>
      <w:pPr>
        <w:spacing w:after="0" w:line="380" w:lineRule="exact"/>
        <w:ind w:firstLine="8680" w:firstLineChars="31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right="1199" w:rightChars="545" w:firstLine="1439" w:firstLineChars="514"/>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after="0" w:line="240" w:lineRule="auto"/>
        <w:jc w:val="left"/>
        <w:rPr>
          <w:rFonts w:ascii="仿宋" w:hAnsi="仿宋" w:eastAsia="仿宋"/>
          <w:b/>
          <w:bCs/>
          <w:sz w:val="28"/>
          <w:szCs w:val="28"/>
        </w:rPr>
        <w:sectPr>
          <w:pgSz w:w="16838" w:h="11906" w:orient="landscape"/>
          <w:pgMar w:top="1134" w:right="1418" w:bottom="1134" w:left="1418" w:header="851" w:footer="992" w:gutter="0"/>
          <w:cols w:space="0" w:num="1"/>
          <w:titlePg/>
          <w:docGrid w:type="lines" w:linePitch="322" w:charSpace="0"/>
        </w:sect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62"/>
        <w:rPr>
          <w:rFonts w:ascii="仿宋" w:hAnsi="仿宋" w:eastAsia="仿宋"/>
          <w:szCs w:val="28"/>
        </w:rPr>
      </w:pPr>
    </w:p>
    <w:p>
      <w:pPr>
        <w:spacing w:line="380" w:lineRule="exact"/>
        <w:jc w:val="center"/>
        <w:outlineLvl w:val="2"/>
        <w:rPr>
          <w:rFonts w:ascii="仿宋" w:hAnsi="仿宋" w:eastAsia="仿宋"/>
          <w:b/>
          <w:sz w:val="28"/>
          <w:szCs w:val="28"/>
        </w:rPr>
      </w:pPr>
      <w:bookmarkStart w:id="188" w:name="_Toc255975017"/>
      <w:bookmarkStart w:id="189" w:name="_Toc235438353"/>
      <w:bookmarkStart w:id="190" w:name="_Toc236021458"/>
      <w:bookmarkStart w:id="191" w:name="_Toc235437999"/>
      <w:bookmarkStart w:id="192" w:name="_Toc217891409"/>
      <w:bookmarkStart w:id="193" w:name="_Toc251613840"/>
      <w:bookmarkStart w:id="194" w:name="_Toc266870917"/>
      <w:bookmarkStart w:id="195" w:name="_Toc259520875"/>
      <w:bookmarkStart w:id="196" w:name="_Toc251586242"/>
      <w:bookmarkStart w:id="197" w:name="_Toc266870442"/>
      <w:bookmarkStart w:id="198" w:name="_Toc259692750"/>
      <w:bookmarkStart w:id="199" w:name="_Toc253066625"/>
      <w:bookmarkStart w:id="200" w:name="_Toc227058537"/>
      <w:bookmarkStart w:id="201" w:name="_Toc235438282"/>
      <w:bookmarkStart w:id="202" w:name="_Toc258401266"/>
      <w:bookmarkStart w:id="203" w:name="_Toc223146615"/>
      <w:bookmarkStart w:id="204" w:name="_Toc249325721"/>
      <w:bookmarkStart w:id="205" w:name="_Toc230071154"/>
      <w:bookmarkStart w:id="206" w:name="_Toc267060077"/>
      <w:bookmarkStart w:id="207" w:name="_Toc225669329"/>
      <w:bookmarkStart w:id="208" w:name="_Toc213756058"/>
      <w:bookmarkStart w:id="209" w:name="_Toc254790910"/>
      <w:bookmarkStart w:id="210" w:name="_Toc266868680"/>
      <w:bookmarkStart w:id="211" w:name="_Toc232302123"/>
      <w:bookmarkStart w:id="212" w:name="_Toc219800250"/>
      <w:bookmarkStart w:id="213" w:name="_Toc259692657"/>
      <w:bookmarkStart w:id="214" w:name="_Toc267060217"/>
      <w:bookmarkStart w:id="215" w:name="_Toc267060462"/>
      <w:r>
        <w:rPr>
          <w:rFonts w:ascii="仿宋" w:hAnsi="仿宋" w:eastAsia="仿宋"/>
          <w:b/>
          <w:sz w:val="28"/>
          <w:szCs w:val="28"/>
        </w:rPr>
        <w:t>3</w:t>
      </w:r>
      <w:r>
        <w:rPr>
          <w:rFonts w:hint="eastAsia" w:ascii="仿宋" w:hAnsi="仿宋" w:eastAsia="仿宋"/>
          <w:b/>
          <w:sz w:val="28"/>
          <w:szCs w:val="28"/>
        </w:rPr>
        <w:t>-1关于资格的声明函</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仿宋" w:hAnsi="仿宋" w:eastAsia="仿宋"/>
          <w:b/>
          <w:sz w:val="28"/>
          <w:szCs w:val="28"/>
        </w:rPr>
        <w:cr/>
      </w:r>
    </w:p>
    <w:p>
      <w:pPr>
        <w:spacing w:after="0" w:line="500" w:lineRule="exact"/>
        <w:rPr>
          <w:rFonts w:ascii="仿宋" w:hAnsi="仿宋" w:eastAsia="仿宋"/>
          <w:sz w:val="28"/>
          <w:szCs w:val="28"/>
        </w:rPr>
      </w:pPr>
      <w:bookmarkStart w:id="216" w:name="_Hlk511663739"/>
      <w:r>
        <w:rPr>
          <w:rFonts w:hint="eastAsia" w:ascii="仿宋" w:hAnsi="仿宋" w:eastAsia="仿宋"/>
          <w:sz w:val="28"/>
          <w:szCs w:val="28"/>
        </w:rPr>
        <w:t>重庆外语外事学院：</w:t>
      </w:r>
      <w:bookmarkEnd w:id="216"/>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关于贵方2021年</w:t>
      </w:r>
      <w:r>
        <w:rPr>
          <w:rFonts w:ascii="仿宋" w:hAnsi="仿宋" w:eastAsia="仿宋"/>
          <w:sz w:val="28"/>
          <w:szCs w:val="28"/>
        </w:rPr>
        <w:t>XX</w:t>
      </w:r>
      <w:r>
        <w:rPr>
          <w:rFonts w:hint="eastAsia" w:ascii="仿宋" w:hAnsi="仿宋" w:eastAsia="仿宋"/>
          <w:sz w:val="28"/>
          <w:szCs w:val="28"/>
        </w:rPr>
        <w:t>月</w:t>
      </w:r>
      <w:r>
        <w:rPr>
          <w:rFonts w:ascii="仿宋" w:hAnsi="仿宋" w:eastAsia="仿宋"/>
          <w:sz w:val="28"/>
          <w:szCs w:val="28"/>
        </w:rPr>
        <w:t>XX</w:t>
      </w:r>
      <w:r>
        <w:rPr>
          <w:rFonts w:hint="eastAsia" w:ascii="仿宋" w:hAnsi="仿宋" w:eastAsia="仿宋"/>
          <w:sz w:val="28"/>
          <w:szCs w:val="28"/>
        </w:rPr>
        <w:t>日 （</w:t>
      </w:r>
      <w:r>
        <w:rPr>
          <w:rFonts w:ascii="仿宋" w:hAnsi="仿宋" w:eastAsia="仿宋"/>
          <w:sz w:val="28"/>
          <w:szCs w:val="28"/>
        </w:rPr>
        <w:t>×××××××</w:t>
      </w:r>
      <w:r>
        <w:rPr>
          <w:rFonts w:hint="eastAsia" w:ascii="仿宋" w:hAnsi="仿宋" w:eastAsia="仿宋"/>
          <w:sz w:val="28"/>
          <w:szCs w:val="28"/>
        </w:rPr>
        <w:t>）公开询价邀请，本签字人愿意参加本次报价，提供公开询价文件中规定的货物，并证明提交的下列文件和说明是准确的和真实的。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2．我方的资格声明正本1份，副本1份，随报价响应文件一同递交。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电话或传真：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7" w:name="_Toc258401267"/>
      <w:bookmarkStart w:id="218" w:name="_Toc259520876"/>
      <w:bookmarkStart w:id="219" w:name="_Toc254790911"/>
      <w:bookmarkStart w:id="220" w:name="_Toc266868681"/>
      <w:bookmarkStart w:id="221" w:name="_Toc213756059"/>
      <w:bookmarkStart w:id="222" w:name="_Toc230071155"/>
      <w:bookmarkStart w:id="223" w:name="_Toc249325722"/>
      <w:bookmarkStart w:id="224" w:name="_Toc255975018"/>
      <w:bookmarkStart w:id="225" w:name="_Toc253066626"/>
      <w:bookmarkStart w:id="226" w:name="_Toc251586243"/>
      <w:bookmarkStart w:id="227" w:name="_Toc235438000"/>
      <w:bookmarkStart w:id="228" w:name="_Toc236021459"/>
      <w:bookmarkStart w:id="229" w:name="_Toc225669330"/>
      <w:bookmarkStart w:id="230" w:name="_Toc235438354"/>
      <w:bookmarkStart w:id="231" w:name="_Toc235438283"/>
      <w:bookmarkStart w:id="232" w:name="_Toc259692751"/>
      <w:bookmarkStart w:id="233" w:name="_Toc219800251"/>
      <w:bookmarkStart w:id="234" w:name="_Toc232302124"/>
      <w:bookmarkStart w:id="235" w:name="_Toc266870443"/>
      <w:bookmarkStart w:id="236" w:name="_Toc251613841"/>
      <w:bookmarkStart w:id="237" w:name="_Toc223146616"/>
      <w:bookmarkStart w:id="238" w:name="_Toc259692658"/>
      <w:bookmarkStart w:id="239" w:name="_Toc217891410"/>
      <w:bookmarkStart w:id="240" w:name="_Toc266870918"/>
      <w:bookmarkStart w:id="241" w:name="_Toc227058538"/>
    </w:p>
    <w:p>
      <w:pPr>
        <w:jc w:val="center"/>
        <w:outlineLvl w:val="1"/>
        <w:rPr>
          <w:rFonts w:ascii="仿宋" w:hAnsi="仿宋" w:eastAsia="仿宋"/>
          <w:b/>
          <w:sz w:val="28"/>
          <w:szCs w:val="28"/>
        </w:rPr>
      </w:pPr>
      <w:r>
        <w:rPr>
          <w:rFonts w:ascii="仿宋" w:hAnsi="仿宋" w:eastAsia="仿宋"/>
          <w:sz w:val="28"/>
          <w:szCs w:val="28"/>
        </w:rPr>
        <w:br w:type="page"/>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42" w:name="_Toc266870446"/>
      <w:bookmarkStart w:id="243" w:name="_Toc254790916"/>
      <w:bookmarkStart w:id="244" w:name="_Toc191783230"/>
      <w:bookmarkStart w:id="245" w:name="_Toc266868684"/>
      <w:bookmarkStart w:id="246" w:name="_Toc259520881"/>
      <w:bookmarkStart w:id="247" w:name="_Toc255975021"/>
      <w:bookmarkStart w:id="248" w:name="_Toc235438003"/>
      <w:bookmarkStart w:id="249" w:name="_Toc249325725"/>
      <w:bookmarkStart w:id="250" w:name="_Toc236021462"/>
      <w:bookmarkStart w:id="251" w:name="_Toc193165742"/>
      <w:bookmarkStart w:id="252" w:name="_Toc258401270"/>
      <w:bookmarkStart w:id="253" w:name="_Toc259520879"/>
      <w:bookmarkStart w:id="254" w:name="_Toc253066629"/>
      <w:bookmarkStart w:id="255" w:name="_Toc192664161"/>
      <w:bookmarkStart w:id="256" w:name="_Toc232302127"/>
      <w:bookmarkStart w:id="257" w:name="_Toc267060220"/>
      <w:bookmarkStart w:id="258" w:name="_Toc182372790"/>
      <w:bookmarkStart w:id="259" w:name="_Toc259692754"/>
      <w:bookmarkStart w:id="260" w:name="_Toc255975023"/>
      <w:bookmarkStart w:id="261" w:name="_Toc180302921"/>
      <w:bookmarkStart w:id="262" w:name="_Toc203355741"/>
      <w:bookmarkStart w:id="263" w:name="_Toc259692663"/>
      <w:bookmarkStart w:id="264" w:name="_Toc192663843"/>
      <w:bookmarkStart w:id="265" w:name="_Toc251613844"/>
      <w:bookmarkStart w:id="266" w:name="_Toc235438286"/>
      <w:bookmarkStart w:id="267" w:name="_Toc191803634"/>
      <w:bookmarkStart w:id="268" w:name="_Toc211917124"/>
      <w:bookmarkStart w:id="269" w:name="_Toc169332846"/>
      <w:bookmarkStart w:id="270" w:name="_Toc251586246"/>
      <w:bookmarkStart w:id="271" w:name="_Toc267060466"/>
      <w:bookmarkStart w:id="272" w:name="_Toc259692756"/>
      <w:bookmarkStart w:id="273" w:name="_Toc266868686"/>
      <w:bookmarkStart w:id="274" w:name="_Toc254790914"/>
      <w:bookmarkStart w:id="275" w:name="_Toc181436469"/>
      <w:bookmarkStart w:id="276" w:name="_Toc267060081"/>
      <w:bookmarkStart w:id="277" w:name="_Toc191789337"/>
      <w:bookmarkStart w:id="278" w:name="_Toc235438357"/>
      <w:bookmarkStart w:id="279" w:name="_Toc258401272"/>
      <w:bookmarkStart w:id="280" w:name="_Toc266870922"/>
      <w:bookmarkStart w:id="281" w:name="_Toc266870921"/>
      <w:bookmarkStart w:id="282" w:name="_Toc160880168"/>
      <w:bookmarkStart w:id="283" w:name="_Toc182805225"/>
      <w:bookmarkStart w:id="284" w:name="_Toc259692661"/>
      <w:bookmarkStart w:id="285" w:name="_Toc160880537"/>
      <w:bookmarkStart w:id="286" w:name="_Toc192996454"/>
      <w:bookmarkStart w:id="287" w:name="_Toc191802698"/>
      <w:bookmarkStart w:id="288" w:name="_Toc267060080"/>
      <w:bookmarkStart w:id="289" w:name="_Toc177985477"/>
      <w:bookmarkStart w:id="290" w:name="_Toc193160456"/>
      <w:bookmarkStart w:id="291" w:name="_Toc192996346"/>
      <w:bookmarkStart w:id="292" w:name="_Toc267060465"/>
      <w:bookmarkStart w:id="293" w:name="_Toc267060221"/>
      <w:bookmarkStart w:id="294" w:name="_Toc192663694"/>
      <w:bookmarkStart w:id="295" w:name="_Toc266870447"/>
      <w:bookmarkStart w:id="296" w:name="_Toc169332957"/>
      <w:bookmarkStart w:id="297" w:name="_Toc181436573"/>
      <w:bookmarkStart w:id="298" w:name="_Toc170798801"/>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Pr>
        <w:spacing w:after="0" w:line="480" w:lineRule="exact"/>
        <w:ind w:firstLine="570"/>
        <w:jc w:val="center"/>
        <w:rPr>
          <w:rFonts w:ascii="仿宋" w:hAnsi="仿宋" w:eastAsia="仿宋"/>
          <w:b/>
          <w:bCs/>
          <w:sz w:val="28"/>
          <w:szCs w:val="28"/>
        </w:rPr>
      </w:pPr>
      <w:bookmarkStart w:id="299" w:name="_Toc235438004"/>
      <w:bookmarkStart w:id="300" w:name="_Toc266868944"/>
      <w:bookmarkStart w:id="301" w:name="_Toc267060467"/>
      <w:bookmarkStart w:id="302" w:name="_Toc266868687"/>
      <w:bookmarkStart w:id="303" w:name="_Toc267060327"/>
      <w:bookmarkStart w:id="304" w:name="_Toc254790917"/>
      <w:bookmarkStart w:id="305" w:name="_Toc266870923"/>
      <w:bookmarkStart w:id="306" w:name="_Toc232302128"/>
      <w:bookmarkStart w:id="307" w:name="_Toc255975024"/>
      <w:bookmarkStart w:id="308" w:name="_Toc267060082"/>
      <w:bookmarkStart w:id="309" w:name="_Toc251613845"/>
      <w:bookmarkStart w:id="310" w:name="_Toc235438287"/>
      <w:bookmarkStart w:id="311" w:name="_Toc249325726"/>
      <w:bookmarkStart w:id="312" w:name="_Toc259692757"/>
      <w:bookmarkStart w:id="313" w:name="_Toc259520882"/>
      <w:bookmarkStart w:id="314" w:name="_Toc267059925"/>
      <w:bookmarkStart w:id="315" w:name="_Toc267060222"/>
      <w:bookmarkStart w:id="316" w:name="_Toc266870448"/>
      <w:bookmarkStart w:id="317" w:name="_Toc251586247"/>
      <w:bookmarkStart w:id="318" w:name="_Toc266870840"/>
      <w:bookmarkStart w:id="319" w:name="_Toc267059659"/>
      <w:bookmarkStart w:id="320" w:name="_Toc267059036"/>
      <w:bookmarkStart w:id="321" w:name="_Toc259692664"/>
      <w:bookmarkStart w:id="322" w:name="_Toc267059812"/>
      <w:bookmarkStart w:id="323" w:name="_Toc267059187"/>
      <w:bookmarkStart w:id="324" w:name="_Toc273178704"/>
      <w:bookmarkStart w:id="325" w:name="_Toc267059545"/>
      <w:bookmarkStart w:id="326" w:name="_Toc235438358"/>
      <w:bookmarkStart w:id="327" w:name="_Toc236021463"/>
      <w:bookmarkStart w:id="328" w:name="_Toc253066630"/>
      <w:bookmarkStart w:id="329" w:name="_Toc258401273"/>
      <w:r>
        <w:rPr>
          <w:rFonts w:ascii="仿宋" w:hAnsi="仿宋" w:eastAsia="仿宋"/>
          <w:b/>
          <w:bCs/>
          <w:sz w:val="28"/>
          <w:szCs w:val="28"/>
        </w:rPr>
        <w:t>4.</w:t>
      </w:r>
      <w:r>
        <w:rPr>
          <w:rFonts w:hint="eastAsia" w:ascii="仿宋" w:hAnsi="仿宋" w:eastAsia="仿宋"/>
          <w:b/>
          <w:bCs/>
          <w:sz w:val="28"/>
          <w:szCs w:val="28"/>
        </w:rPr>
        <w:t>质保和后期服务承诺书</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5880" w:firstLineChars="2100"/>
        <w:rPr>
          <w:rFonts w:ascii="仿宋" w:hAnsi="仿宋" w:eastAsia="仿宋"/>
          <w:sz w:val="28"/>
          <w:szCs w:val="28"/>
        </w:rPr>
      </w:pPr>
      <w:r>
        <w:rPr>
          <w:rFonts w:hint="eastAsia" w:ascii="仿宋" w:hAnsi="仿宋" w:eastAsia="仿宋"/>
          <w:sz w:val="28"/>
          <w:szCs w:val="28"/>
        </w:rPr>
        <w:t>参与人授权代表：</w:t>
      </w:r>
    </w:p>
    <w:p>
      <w:pPr>
        <w:spacing w:line="420" w:lineRule="exact"/>
        <w:ind w:firstLine="6440" w:firstLineChars="2300"/>
        <w:rPr>
          <w:rFonts w:ascii="仿宋" w:hAnsi="仿宋" w:eastAsia="仿宋"/>
          <w:sz w:val="28"/>
          <w:szCs w:val="28"/>
        </w:rPr>
      </w:pPr>
      <w:r>
        <w:rPr>
          <w:rFonts w:hint="eastAsia" w:ascii="仿宋" w:hAnsi="仿宋" w:eastAsia="仿宋"/>
          <w:sz w:val="28"/>
          <w:szCs w:val="28"/>
        </w:rPr>
        <w:t>日     期：</w:t>
      </w:r>
    </w:p>
    <w:p>
      <w:pPr>
        <w:spacing w:line="380" w:lineRule="exact"/>
        <w:rPr>
          <w:rFonts w:ascii="仿宋" w:hAnsi="仿宋" w:eastAsia="仿宋"/>
          <w:sz w:val="28"/>
          <w:szCs w:val="28"/>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18415"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A1DF9"/>
    <w:rsid w:val="000B65AE"/>
    <w:rsid w:val="000C0ADC"/>
    <w:rsid w:val="000C40BC"/>
    <w:rsid w:val="000C6C25"/>
    <w:rsid w:val="000D294B"/>
    <w:rsid w:val="000E0A1F"/>
    <w:rsid w:val="000E7F0C"/>
    <w:rsid w:val="000F4F45"/>
    <w:rsid w:val="00117901"/>
    <w:rsid w:val="00120CC1"/>
    <w:rsid w:val="00126009"/>
    <w:rsid w:val="0013118F"/>
    <w:rsid w:val="001561E9"/>
    <w:rsid w:val="001576E5"/>
    <w:rsid w:val="001729A2"/>
    <w:rsid w:val="00176CD4"/>
    <w:rsid w:val="00180AE7"/>
    <w:rsid w:val="00181C04"/>
    <w:rsid w:val="00182C6E"/>
    <w:rsid w:val="001839D3"/>
    <w:rsid w:val="00184894"/>
    <w:rsid w:val="0018619D"/>
    <w:rsid w:val="001901ED"/>
    <w:rsid w:val="001A2C54"/>
    <w:rsid w:val="001A5B43"/>
    <w:rsid w:val="001B611D"/>
    <w:rsid w:val="001B719E"/>
    <w:rsid w:val="001B75AD"/>
    <w:rsid w:val="001C3FDF"/>
    <w:rsid w:val="001C6943"/>
    <w:rsid w:val="001C78A7"/>
    <w:rsid w:val="001E75D3"/>
    <w:rsid w:val="001E79B1"/>
    <w:rsid w:val="001F4DA9"/>
    <w:rsid w:val="001F5130"/>
    <w:rsid w:val="00222771"/>
    <w:rsid w:val="00226885"/>
    <w:rsid w:val="00230AF7"/>
    <w:rsid w:val="00230E32"/>
    <w:rsid w:val="00235C32"/>
    <w:rsid w:val="00243524"/>
    <w:rsid w:val="00244E90"/>
    <w:rsid w:val="00245806"/>
    <w:rsid w:val="00246D51"/>
    <w:rsid w:val="0025668E"/>
    <w:rsid w:val="00257789"/>
    <w:rsid w:val="002772BB"/>
    <w:rsid w:val="00290188"/>
    <w:rsid w:val="0029068A"/>
    <w:rsid w:val="00292468"/>
    <w:rsid w:val="002A0735"/>
    <w:rsid w:val="002B4EC7"/>
    <w:rsid w:val="002C2C3D"/>
    <w:rsid w:val="002C3845"/>
    <w:rsid w:val="002C4297"/>
    <w:rsid w:val="002D2852"/>
    <w:rsid w:val="002F795A"/>
    <w:rsid w:val="00307AC6"/>
    <w:rsid w:val="00317A5B"/>
    <w:rsid w:val="00326F3A"/>
    <w:rsid w:val="00333DF5"/>
    <w:rsid w:val="0033467E"/>
    <w:rsid w:val="00334E6F"/>
    <w:rsid w:val="003359C2"/>
    <w:rsid w:val="00345276"/>
    <w:rsid w:val="003471B5"/>
    <w:rsid w:val="003570A0"/>
    <w:rsid w:val="00361B92"/>
    <w:rsid w:val="003662D8"/>
    <w:rsid w:val="00366367"/>
    <w:rsid w:val="00375717"/>
    <w:rsid w:val="00382D9B"/>
    <w:rsid w:val="00385087"/>
    <w:rsid w:val="00391718"/>
    <w:rsid w:val="00395D9F"/>
    <w:rsid w:val="00397A32"/>
    <w:rsid w:val="003A74C5"/>
    <w:rsid w:val="003B4F7D"/>
    <w:rsid w:val="003C60EF"/>
    <w:rsid w:val="003E6439"/>
    <w:rsid w:val="003F1413"/>
    <w:rsid w:val="003F20A6"/>
    <w:rsid w:val="00404FA2"/>
    <w:rsid w:val="004242F4"/>
    <w:rsid w:val="00425361"/>
    <w:rsid w:val="004262D6"/>
    <w:rsid w:val="0043243C"/>
    <w:rsid w:val="004341DA"/>
    <w:rsid w:val="00441955"/>
    <w:rsid w:val="004420EC"/>
    <w:rsid w:val="00444AC0"/>
    <w:rsid w:val="00465E75"/>
    <w:rsid w:val="00476184"/>
    <w:rsid w:val="0048303D"/>
    <w:rsid w:val="00486865"/>
    <w:rsid w:val="004A0268"/>
    <w:rsid w:val="004A199C"/>
    <w:rsid w:val="004B15F1"/>
    <w:rsid w:val="004B25FE"/>
    <w:rsid w:val="004B41BC"/>
    <w:rsid w:val="004B66B1"/>
    <w:rsid w:val="004C21F5"/>
    <w:rsid w:val="004D05DB"/>
    <w:rsid w:val="00502F52"/>
    <w:rsid w:val="00524E23"/>
    <w:rsid w:val="0052624B"/>
    <w:rsid w:val="005323AA"/>
    <w:rsid w:val="00541D19"/>
    <w:rsid w:val="0055400F"/>
    <w:rsid w:val="00556555"/>
    <w:rsid w:val="00565BDF"/>
    <w:rsid w:val="005678E3"/>
    <w:rsid w:val="0056798C"/>
    <w:rsid w:val="00573D5B"/>
    <w:rsid w:val="0057673D"/>
    <w:rsid w:val="00582530"/>
    <w:rsid w:val="00590957"/>
    <w:rsid w:val="0059336F"/>
    <w:rsid w:val="00595285"/>
    <w:rsid w:val="005A2C54"/>
    <w:rsid w:val="005A5A4D"/>
    <w:rsid w:val="005B4036"/>
    <w:rsid w:val="005B6F35"/>
    <w:rsid w:val="005E0DCF"/>
    <w:rsid w:val="005E77C4"/>
    <w:rsid w:val="005F0F21"/>
    <w:rsid w:val="005F1FC8"/>
    <w:rsid w:val="005F5BEC"/>
    <w:rsid w:val="00615148"/>
    <w:rsid w:val="0062018B"/>
    <w:rsid w:val="006271FC"/>
    <w:rsid w:val="00630374"/>
    <w:rsid w:val="006344E5"/>
    <w:rsid w:val="00640ACE"/>
    <w:rsid w:val="00644AE9"/>
    <w:rsid w:val="00655B5A"/>
    <w:rsid w:val="00662D25"/>
    <w:rsid w:val="00671771"/>
    <w:rsid w:val="00672401"/>
    <w:rsid w:val="00676F22"/>
    <w:rsid w:val="00690865"/>
    <w:rsid w:val="006C6076"/>
    <w:rsid w:val="006C7801"/>
    <w:rsid w:val="006D3D13"/>
    <w:rsid w:val="006E3425"/>
    <w:rsid w:val="006F3C71"/>
    <w:rsid w:val="006F5FBA"/>
    <w:rsid w:val="00702B6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87FAE"/>
    <w:rsid w:val="007A062C"/>
    <w:rsid w:val="007A522E"/>
    <w:rsid w:val="007B0F09"/>
    <w:rsid w:val="007B2319"/>
    <w:rsid w:val="007C7200"/>
    <w:rsid w:val="007D2621"/>
    <w:rsid w:val="007D5DC2"/>
    <w:rsid w:val="007F4554"/>
    <w:rsid w:val="007F49A4"/>
    <w:rsid w:val="007F4B99"/>
    <w:rsid w:val="00800F91"/>
    <w:rsid w:val="008111E1"/>
    <w:rsid w:val="00820F76"/>
    <w:rsid w:val="0086321C"/>
    <w:rsid w:val="0086365D"/>
    <w:rsid w:val="00865B30"/>
    <w:rsid w:val="00866BD7"/>
    <w:rsid w:val="00866FF8"/>
    <w:rsid w:val="00874219"/>
    <w:rsid w:val="0088163E"/>
    <w:rsid w:val="0088460F"/>
    <w:rsid w:val="008902DC"/>
    <w:rsid w:val="00896621"/>
    <w:rsid w:val="00897C04"/>
    <w:rsid w:val="008A08ED"/>
    <w:rsid w:val="008A415E"/>
    <w:rsid w:val="008C1BB0"/>
    <w:rsid w:val="008C6ED2"/>
    <w:rsid w:val="008D55E7"/>
    <w:rsid w:val="008F576D"/>
    <w:rsid w:val="009075A1"/>
    <w:rsid w:val="00913FBF"/>
    <w:rsid w:val="0091581B"/>
    <w:rsid w:val="00916285"/>
    <w:rsid w:val="00916532"/>
    <w:rsid w:val="00923C7E"/>
    <w:rsid w:val="00925800"/>
    <w:rsid w:val="00936704"/>
    <w:rsid w:val="009423C9"/>
    <w:rsid w:val="00947EDB"/>
    <w:rsid w:val="009606BC"/>
    <w:rsid w:val="00967E57"/>
    <w:rsid w:val="00994E59"/>
    <w:rsid w:val="009A6542"/>
    <w:rsid w:val="009A7542"/>
    <w:rsid w:val="009C5F45"/>
    <w:rsid w:val="009D3E07"/>
    <w:rsid w:val="009D66D2"/>
    <w:rsid w:val="009E44A6"/>
    <w:rsid w:val="00A03319"/>
    <w:rsid w:val="00A10F7F"/>
    <w:rsid w:val="00A124F9"/>
    <w:rsid w:val="00A1433A"/>
    <w:rsid w:val="00A148CE"/>
    <w:rsid w:val="00A24465"/>
    <w:rsid w:val="00A278BD"/>
    <w:rsid w:val="00A40610"/>
    <w:rsid w:val="00A4220E"/>
    <w:rsid w:val="00A44A63"/>
    <w:rsid w:val="00A52A3D"/>
    <w:rsid w:val="00A54EBA"/>
    <w:rsid w:val="00A64A5B"/>
    <w:rsid w:val="00A72420"/>
    <w:rsid w:val="00A75297"/>
    <w:rsid w:val="00A81C33"/>
    <w:rsid w:val="00A824EB"/>
    <w:rsid w:val="00A87563"/>
    <w:rsid w:val="00A961F6"/>
    <w:rsid w:val="00AA1C3E"/>
    <w:rsid w:val="00AA49A9"/>
    <w:rsid w:val="00AA6CF8"/>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87C2C"/>
    <w:rsid w:val="00CA5BCC"/>
    <w:rsid w:val="00CA60EC"/>
    <w:rsid w:val="00CC2A51"/>
    <w:rsid w:val="00CC59AE"/>
    <w:rsid w:val="00D05858"/>
    <w:rsid w:val="00D2102C"/>
    <w:rsid w:val="00D2478B"/>
    <w:rsid w:val="00D25ED4"/>
    <w:rsid w:val="00D300F1"/>
    <w:rsid w:val="00D36D52"/>
    <w:rsid w:val="00D53588"/>
    <w:rsid w:val="00D56DEA"/>
    <w:rsid w:val="00D72DAC"/>
    <w:rsid w:val="00D75ABD"/>
    <w:rsid w:val="00D80D07"/>
    <w:rsid w:val="00D9481E"/>
    <w:rsid w:val="00DA62C7"/>
    <w:rsid w:val="00DB7A58"/>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20A4B"/>
    <w:rsid w:val="00F33D8E"/>
    <w:rsid w:val="00F412F9"/>
    <w:rsid w:val="00F51729"/>
    <w:rsid w:val="00F75C54"/>
    <w:rsid w:val="00F81E83"/>
    <w:rsid w:val="00F8646A"/>
    <w:rsid w:val="00F876DE"/>
    <w:rsid w:val="00FC3A3C"/>
    <w:rsid w:val="00FF0CC9"/>
    <w:rsid w:val="00FF1750"/>
    <w:rsid w:val="00FF721E"/>
    <w:rsid w:val="06AD6588"/>
    <w:rsid w:val="174F5A48"/>
    <w:rsid w:val="1B587E60"/>
    <w:rsid w:val="226024DF"/>
    <w:rsid w:val="2BA352F2"/>
    <w:rsid w:val="2C3E452C"/>
    <w:rsid w:val="2EA62A14"/>
    <w:rsid w:val="2EBB2998"/>
    <w:rsid w:val="3F107CA1"/>
    <w:rsid w:val="491C6D9E"/>
    <w:rsid w:val="4AD1371F"/>
    <w:rsid w:val="4D0C76E6"/>
    <w:rsid w:val="5422342C"/>
    <w:rsid w:val="58700A4B"/>
    <w:rsid w:val="5D5D3B0A"/>
    <w:rsid w:val="603D6413"/>
    <w:rsid w:val="63EE7680"/>
    <w:rsid w:val="64F5357A"/>
    <w:rsid w:val="67C664FE"/>
    <w:rsid w:val="6B430D36"/>
    <w:rsid w:val="6D4D3E8A"/>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3"/>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4"/>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5"/>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6"/>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7"/>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8"/>
    <w:semiHidden/>
    <w:unhideWhenUsed/>
    <w:qFormat/>
    <w:uiPriority w:val="9"/>
    <w:pPr>
      <w:keepNext/>
      <w:keepLines/>
      <w:spacing w:before="120" w:after="0"/>
      <w:outlineLvl w:val="6"/>
    </w:pPr>
    <w:rPr>
      <w:i/>
      <w:iCs/>
    </w:rPr>
  </w:style>
  <w:style w:type="paragraph" w:styleId="9">
    <w:name w:val="heading 8"/>
    <w:basedOn w:val="1"/>
    <w:next w:val="1"/>
    <w:link w:val="39"/>
    <w:semiHidden/>
    <w:unhideWhenUsed/>
    <w:qFormat/>
    <w:uiPriority w:val="9"/>
    <w:pPr>
      <w:keepNext/>
      <w:keepLines/>
      <w:spacing w:before="120" w:after="0"/>
      <w:outlineLvl w:val="7"/>
    </w:pPr>
    <w:rPr>
      <w:b/>
      <w:bCs/>
    </w:rPr>
  </w:style>
  <w:style w:type="paragraph" w:styleId="10">
    <w:name w:val="heading 9"/>
    <w:basedOn w:val="1"/>
    <w:next w:val="1"/>
    <w:link w:val="40"/>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uiPriority w:val="99"/>
    <w:pPr>
      <w:jc w:val="left"/>
    </w:pPr>
  </w:style>
  <w:style w:type="paragraph" w:styleId="14">
    <w:name w:val="Body Text"/>
    <w:basedOn w:val="1"/>
    <w:link w:val="41"/>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2"/>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alloon Text"/>
    <w:basedOn w:val="1"/>
    <w:link w:val="64"/>
    <w:semiHidden/>
    <w:unhideWhenUsed/>
    <w:qFormat/>
    <w:uiPriority w:val="99"/>
    <w:pPr>
      <w:spacing w:after="0" w:line="240" w:lineRule="auto"/>
    </w:pPr>
    <w:rPr>
      <w:sz w:val="18"/>
      <w:szCs w:val="18"/>
    </w:rPr>
  </w:style>
  <w:style w:type="paragraph" w:styleId="19">
    <w:name w:val="footer"/>
    <w:basedOn w:val="1"/>
    <w:link w:val="43"/>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5"/>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4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customStyle="1" w:styleId="32">
    <w:name w:val="标题 1 Char"/>
    <w:basedOn w:val="28"/>
    <w:link w:val="2"/>
    <w:qFormat/>
    <w:uiPriority w:val="9"/>
    <w:rPr>
      <w:rFonts w:asciiTheme="majorHAnsi" w:hAnsiTheme="majorHAnsi" w:eastAsiaTheme="majorEastAsia" w:cstheme="majorBidi"/>
      <w:b/>
      <w:bCs/>
      <w:caps/>
      <w:spacing w:val="4"/>
      <w:sz w:val="28"/>
      <w:szCs w:val="28"/>
    </w:rPr>
  </w:style>
  <w:style w:type="character" w:customStyle="1" w:styleId="33">
    <w:name w:val="标题 2 Char"/>
    <w:basedOn w:val="28"/>
    <w:link w:val="3"/>
    <w:qFormat/>
    <w:uiPriority w:val="9"/>
    <w:rPr>
      <w:rFonts w:asciiTheme="majorHAnsi" w:hAnsiTheme="majorHAnsi" w:eastAsiaTheme="majorEastAsia" w:cstheme="majorBidi"/>
      <w:b/>
      <w:bCs/>
      <w:sz w:val="28"/>
      <w:szCs w:val="28"/>
    </w:rPr>
  </w:style>
  <w:style w:type="character" w:customStyle="1" w:styleId="34">
    <w:name w:val="标题 3 Char"/>
    <w:basedOn w:val="28"/>
    <w:link w:val="4"/>
    <w:qFormat/>
    <w:uiPriority w:val="9"/>
    <w:rPr>
      <w:rFonts w:asciiTheme="majorHAnsi" w:hAnsiTheme="majorHAnsi" w:eastAsiaTheme="majorEastAsia" w:cstheme="majorBidi"/>
      <w:spacing w:val="4"/>
      <w:sz w:val="24"/>
      <w:szCs w:val="24"/>
    </w:rPr>
  </w:style>
  <w:style w:type="character" w:customStyle="1" w:styleId="35">
    <w:name w:val="标题 4 Char"/>
    <w:basedOn w:val="28"/>
    <w:link w:val="5"/>
    <w:semiHidden/>
    <w:qFormat/>
    <w:uiPriority w:val="9"/>
    <w:rPr>
      <w:rFonts w:asciiTheme="majorHAnsi" w:hAnsiTheme="majorHAnsi" w:eastAsiaTheme="majorEastAsia" w:cstheme="majorBidi"/>
      <w:i/>
      <w:iCs/>
      <w:sz w:val="24"/>
      <w:szCs w:val="24"/>
    </w:rPr>
  </w:style>
  <w:style w:type="character" w:customStyle="1" w:styleId="36">
    <w:name w:val="标题 5 Char"/>
    <w:basedOn w:val="28"/>
    <w:link w:val="6"/>
    <w:semiHidden/>
    <w:qFormat/>
    <w:uiPriority w:val="9"/>
    <w:rPr>
      <w:rFonts w:asciiTheme="majorHAnsi" w:hAnsiTheme="majorHAnsi" w:eastAsiaTheme="majorEastAsia" w:cstheme="majorBidi"/>
      <w:b/>
      <w:bCs/>
    </w:rPr>
  </w:style>
  <w:style w:type="character" w:customStyle="1" w:styleId="37">
    <w:name w:val="标题 6 Char"/>
    <w:basedOn w:val="28"/>
    <w:link w:val="7"/>
    <w:semiHidden/>
    <w:qFormat/>
    <w:uiPriority w:val="9"/>
    <w:rPr>
      <w:rFonts w:asciiTheme="majorHAnsi" w:hAnsiTheme="majorHAnsi" w:eastAsiaTheme="majorEastAsia" w:cstheme="majorBidi"/>
      <w:b/>
      <w:bCs/>
      <w:i/>
      <w:iCs/>
    </w:rPr>
  </w:style>
  <w:style w:type="character" w:customStyle="1" w:styleId="38">
    <w:name w:val="标题 7 Char"/>
    <w:basedOn w:val="28"/>
    <w:link w:val="8"/>
    <w:semiHidden/>
    <w:qFormat/>
    <w:uiPriority w:val="9"/>
    <w:rPr>
      <w:i/>
      <w:iCs/>
    </w:rPr>
  </w:style>
  <w:style w:type="character" w:customStyle="1" w:styleId="39">
    <w:name w:val="标题 8 Char"/>
    <w:basedOn w:val="28"/>
    <w:link w:val="9"/>
    <w:semiHidden/>
    <w:qFormat/>
    <w:uiPriority w:val="9"/>
    <w:rPr>
      <w:b/>
      <w:bCs/>
    </w:rPr>
  </w:style>
  <w:style w:type="character" w:customStyle="1" w:styleId="40">
    <w:name w:val="标题 9 Char"/>
    <w:basedOn w:val="28"/>
    <w:link w:val="10"/>
    <w:semiHidden/>
    <w:qFormat/>
    <w:uiPriority w:val="9"/>
    <w:rPr>
      <w:i/>
      <w:iCs/>
    </w:rPr>
  </w:style>
  <w:style w:type="character" w:customStyle="1" w:styleId="41">
    <w:name w:val="正文文本 Char"/>
    <w:basedOn w:val="28"/>
    <w:link w:val="14"/>
    <w:semiHidden/>
    <w:qFormat/>
    <w:uiPriority w:val="99"/>
  </w:style>
  <w:style w:type="character" w:customStyle="1" w:styleId="42">
    <w:name w:val="纯文本 Char1"/>
    <w:basedOn w:val="28"/>
    <w:link w:val="16"/>
    <w:qFormat/>
    <w:uiPriority w:val="0"/>
    <w:rPr>
      <w:rFonts w:hAnsi="Courier New" w:cs="Courier New" w:asciiTheme="minorEastAsia"/>
    </w:rPr>
  </w:style>
  <w:style w:type="character" w:customStyle="1" w:styleId="43">
    <w:name w:val="页脚 Char"/>
    <w:basedOn w:val="28"/>
    <w:link w:val="19"/>
    <w:qFormat/>
    <w:uiPriority w:val="99"/>
    <w:rPr>
      <w:sz w:val="18"/>
      <w:szCs w:val="18"/>
    </w:rPr>
  </w:style>
  <w:style w:type="character" w:customStyle="1" w:styleId="44">
    <w:name w:val="页眉 Char"/>
    <w:basedOn w:val="28"/>
    <w:link w:val="20"/>
    <w:qFormat/>
    <w:uiPriority w:val="99"/>
    <w:rPr>
      <w:sz w:val="18"/>
      <w:szCs w:val="18"/>
    </w:rPr>
  </w:style>
  <w:style w:type="character" w:customStyle="1" w:styleId="45">
    <w:name w:val="副标题 Char"/>
    <w:basedOn w:val="28"/>
    <w:link w:val="22"/>
    <w:qFormat/>
    <w:uiPriority w:val="11"/>
    <w:rPr>
      <w:rFonts w:asciiTheme="majorHAnsi" w:hAnsiTheme="majorHAnsi" w:eastAsiaTheme="majorEastAsia" w:cstheme="majorBidi"/>
      <w:sz w:val="24"/>
      <w:szCs w:val="24"/>
    </w:rPr>
  </w:style>
  <w:style w:type="character" w:customStyle="1" w:styleId="46">
    <w:name w:val="正文文本缩进 3 Char"/>
    <w:basedOn w:val="28"/>
    <w:link w:val="23"/>
    <w:qFormat/>
    <w:uiPriority w:val="0"/>
    <w:rPr>
      <w:rFonts w:ascii="Times New Roman" w:hAnsi="Times New Roman" w:eastAsia="宋体" w:cs="Times New Roman"/>
      <w:kern w:val="2"/>
      <w:sz w:val="16"/>
      <w:szCs w:val="16"/>
    </w:rPr>
  </w:style>
  <w:style w:type="character" w:customStyle="1" w:styleId="47">
    <w:name w:val="标题 Char"/>
    <w:basedOn w:val="28"/>
    <w:link w:val="25"/>
    <w:qFormat/>
    <w:uiPriority w:val="10"/>
    <w:rPr>
      <w:rFonts w:asciiTheme="majorHAnsi" w:hAnsiTheme="majorHAnsi" w:eastAsiaTheme="majorEastAsia" w:cstheme="majorBidi"/>
      <w:b/>
      <w:bCs/>
      <w:spacing w:val="-7"/>
      <w:sz w:val="48"/>
      <w:szCs w:val="48"/>
    </w:rPr>
  </w:style>
  <w:style w:type="paragraph" w:styleId="48">
    <w:name w:val="No Spacing"/>
    <w:link w:val="49"/>
    <w:qFormat/>
    <w:uiPriority w:val="1"/>
    <w:pPr>
      <w:jc w:val="both"/>
    </w:pPr>
    <w:rPr>
      <w:rFonts w:asciiTheme="minorHAnsi" w:hAnsiTheme="minorHAnsi" w:eastAsiaTheme="minorEastAsia" w:cstheme="minorBidi"/>
      <w:sz w:val="22"/>
      <w:szCs w:val="22"/>
      <w:lang w:val="en-US" w:eastAsia="zh-CN" w:bidi="ar-SA"/>
    </w:rPr>
  </w:style>
  <w:style w:type="character" w:customStyle="1" w:styleId="49">
    <w:name w:val="无间隔 Char"/>
    <w:basedOn w:val="28"/>
    <w:link w:val="48"/>
    <w:qFormat/>
    <w:uiPriority w:val="1"/>
  </w:style>
  <w:style w:type="paragraph" w:styleId="50">
    <w:name w:val="Quote"/>
    <w:basedOn w:val="1"/>
    <w:next w:val="1"/>
    <w:link w:val="5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1">
    <w:name w:val="引用 Char"/>
    <w:basedOn w:val="28"/>
    <w:link w:val="50"/>
    <w:qFormat/>
    <w:uiPriority w:val="29"/>
    <w:rPr>
      <w:rFonts w:asciiTheme="majorHAnsi" w:hAnsiTheme="majorHAnsi" w:eastAsiaTheme="majorEastAsia" w:cstheme="majorBidi"/>
      <w:i/>
      <w:iCs/>
      <w:sz w:val="24"/>
      <w:szCs w:val="24"/>
    </w:rPr>
  </w:style>
  <w:style w:type="paragraph" w:styleId="52">
    <w:name w:val="Intense Quote"/>
    <w:basedOn w:val="1"/>
    <w:next w:val="1"/>
    <w:link w:val="5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3">
    <w:name w:val="明显引用 Char"/>
    <w:basedOn w:val="28"/>
    <w:link w:val="52"/>
    <w:qFormat/>
    <w:uiPriority w:val="30"/>
    <w:rPr>
      <w:rFonts w:asciiTheme="majorHAnsi" w:hAnsiTheme="majorHAnsi" w:eastAsiaTheme="majorEastAsia" w:cstheme="majorBidi"/>
      <w:sz w:val="26"/>
      <w:szCs w:val="26"/>
    </w:rPr>
  </w:style>
  <w:style w:type="character" w:customStyle="1" w:styleId="54">
    <w:name w:val="不明显强调1"/>
    <w:basedOn w:val="28"/>
    <w:qFormat/>
    <w:uiPriority w:val="19"/>
    <w:rPr>
      <w:i/>
      <w:iCs/>
      <w:color w:val="auto"/>
    </w:rPr>
  </w:style>
  <w:style w:type="character" w:customStyle="1" w:styleId="55">
    <w:name w:val="明显强调1"/>
    <w:basedOn w:val="28"/>
    <w:qFormat/>
    <w:uiPriority w:val="21"/>
    <w:rPr>
      <w:b/>
      <w:bCs/>
      <w:i/>
      <w:iCs/>
      <w:color w:val="auto"/>
    </w:rPr>
  </w:style>
  <w:style w:type="character" w:customStyle="1" w:styleId="56">
    <w:name w:val="不明显参考1"/>
    <w:basedOn w:val="28"/>
    <w:qFormat/>
    <w:uiPriority w:val="31"/>
    <w:rPr>
      <w:smallCaps/>
      <w:color w:val="auto"/>
      <w:u w:val="single" w:color="7E7E7E" w:themeColor="text1" w:themeTint="80"/>
    </w:rPr>
  </w:style>
  <w:style w:type="character" w:customStyle="1" w:styleId="57">
    <w:name w:val="明显参考1"/>
    <w:basedOn w:val="28"/>
    <w:qFormat/>
    <w:uiPriority w:val="32"/>
    <w:rPr>
      <w:b/>
      <w:bCs/>
      <w:smallCaps/>
      <w:color w:val="auto"/>
      <w:u w:val="single"/>
    </w:rPr>
  </w:style>
  <w:style w:type="character" w:customStyle="1" w:styleId="58">
    <w:name w:val="书籍标题1"/>
    <w:basedOn w:val="28"/>
    <w:qFormat/>
    <w:uiPriority w:val="33"/>
    <w:rPr>
      <w:b/>
      <w:bCs/>
      <w:smallCaps/>
      <w:color w:val="auto"/>
    </w:rPr>
  </w:style>
  <w:style w:type="paragraph" w:customStyle="1" w:styleId="59">
    <w:name w:val="TOC 标题1"/>
    <w:basedOn w:val="2"/>
    <w:next w:val="1"/>
    <w:unhideWhenUsed/>
    <w:qFormat/>
    <w:uiPriority w:val="39"/>
    <w:pPr>
      <w:outlineLvl w:val="9"/>
    </w:p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1">
    <w:name w:val="List Paragraph"/>
    <w:basedOn w:val="1"/>
    <w:qFormat/>
    <w:uiPriority w:val="34"/>
    <w:pPr>
      <w:ind w:firstLine="420" w:firstLineChars="200"/>
    </w:pPr>
  </w:style>
  <w:style w:type="paragraph" w:customStyle="1" w:styleId="62">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批注框文本 Char"/>
    <w:basedOn w:val="28"/>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9AADF-BE3C-4C2A-A70D-06E8C0161C2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832</Words>
  <Characters>4747</Characters>
  <Lines>39</Lines>
  <Paragraphs>11</Paragraphs>
  <TotalTime>2</TotalTime>
  <ScaleCrop>false</ScaleCrop>
  <LinksUpToDate>false</LinksUpToDate>
  <CharactersWithSpaces>5568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2021-07-13T00:37:00Z</dcterms:created>
  <dc:creator>树亮 门</dc:creator>
  <cp:lastModifiedBy>刘轩辰</cp:lastModifiedBy>
  <cp:lastPrinted>2021-05-10T06:58:00Z</cp:lastPrinted>
  <dcterms:modified xsi:type="dcterms:W3CDTF">2021-07-15T09:24:06Z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0FBA9FB677414E8F96B4281A9F1B4F19</vt:lpwstr>
  </property>
</Properties>
</file>