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仿宋" w:hAnsi="仿宋" w:eastAsia="仿宋"/>
          <w:b/>
          <w:color w:val="000000" w:themeColor="text1"/>
          <w:sz w:val="44"/>
          <w:szCs w:val="44"/>
          <w14:textFill>
            <w14:solidFill>
              <w14:schemeClr w14:val="tx1"/>
            </w14:solidFill>
          </w14:textFill>
        </w:rPr>
      </w:pPr>
      <w:bookmarkStart w:id="0" w:name="_Hlk38472698"/>
      <w:r>
        <w:drawing>
          <wp:inline distT="0" distB="0" distL="0" distR="0">
            <wp:extent cx="5941060" cy="132461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pPr>
        <w:spacing w:line="1000" w:lineRule="exact"/>
        <w:jc w:val="center"/>
        <w:rPr>
          <w:rFonts w:hint="eastAsia" w:ascii="仿宋" w:hAnsi="仿宋" w:eastAsia="仿宋"/>
          <w:b/>
          <w:color w:val="000000" w:themeColor="text1"/>
          <w:sz w:val="52"/>
          <w:szCs w:val="52"/>
          <w:lang w:val="en-US" w:eastAsia="zh-CN"/>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关于</w:t>
      </w:r>
      <w:bookmarkStart w:id="1" w:name="_Hlk46844340"/>
      <w:r>
        <w:rPr>
          <w:rFonts w:hint="eastAsia" w:ascii="仿宋" w:hAnsi="仿宋" w:eastAsia="仿宋"/>
          <w:b/>
          <w:color w:val="000000" w:themeColor="text1"/>
          <w:sz w:val="52"/>
          <w:szCs w:val="52"/>
          <w:lang w:val="en-US" w:eastAsia="zh-CN"/>
          <w14:textFill>
            <w14:solidFill>
              <w14:schemeClr w14:val="tx1"/>
            </w14:solidFill>
          </w14:textFill>
        </w:rPr>
        <w:t>2021年</w:t>
      </w:r>
      <w:r>
        <w:rPr>
          <w:rFonts w:hint="eastAsia" w:ascii="仿宋" w:hAnsi="仿宋" w:eastAsia="仿宋"/>
          <w:b/>
          <w:color w:val="000000" w:themeColor="text1"/>
          <w:sz w:val="52"/>
          <w:szCs w:val="52"/>
          <w14:textFill>
            <w14:solidFill>
              <w14:schemeClr w14:val="tx1"/>
            </w14:solidFill>
          </w14:textFill>
        </w:rPr>
        <w:t>舞蹈实验室建设项目</w:t>
      </w:r>
      <w:bookmarkEnd w:id="1"/>
      <w:r>
        <w:rPr>
          <w:rFonts w:hint="eastAsia" w:ascii="仿宋" w:hAnsi="仿宋" w:eastAsia="仿宋"/>
          <w:b/>
          <w:color w:val="000000" w:themeColor="text1"/>
          <w:sz w:val="52"/>
          <w:szCs w:val="52"/>
          <w:lang w:eastAsia="zh-CN"/>
          <w14:textFill>
            <w14:solidFill>
              <w14:schemeClr w14:val="tx1"/>
            </w14:solidFill>
          </w14:textFill>
        </w:rPr>
        <w:t>（</w:t>
      </w:r>
      <w:r>
        <w:rPr>
          <w:rFonts w:hint="eastAsia" w:ascii="仿宋" w:hAnsi="仿宋" w:eastAsia="仿宋"/>
          <w:b/>
          <w:color w:val="000000" w:themeColor="text1"/>
          <w:sz w:val="52"/>
          <w:szCs w:val="52"/>
          <w:lang w:val="en-US" w:eastAsia="zh-CN"/>
          <w14:textFill>
            <w14:solidFill>
              <w14:schemeClr w14:val="tx1"/>
            </w14:solidFill>
          </w14:textFill>
        </w:rPr>
        <w:t>二次</w:t>
      </w:r>
      <w:r>
        <w:rPr>
          <w:rFonts w:hint="eastAsia" w:ascii="仿宋" w:hAnsi="仿宋" w:eastAsia="仿宋"/>
          <w:b/>
          <w:color w:val="000000" w:themeColor="text1"/>
          <w:sz w:val="52"/>
          <w:szCs w:val="52"/>
          <w:lang w:eastAsia="zh-CN"/>
          <w14:textFill>
            <w14:solidFill>
              <w14:schemeClr w14:val="tx1"/>
            </w14:solidFill>
          </w14:textFill>
        </w:rPr>
        <w:t>）</w:t>
      </w:r>
    </w:p>
    <w:bookmarkEnd w:id="0"/>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ind w:left="2200" w:leftChars="1000"/>
        <w:textAlignment w:val="auto"/>
        <w:rPr>
          <w:rFonts w:ascii="仿宋" w:hAnsi="仿宋" w:eastAsia="仿宋"/>
          <w:b/>
          <w:sz w:val="36"/>
          <w:szCs w:val="36"/>
        </w:rPr>
      </w:pPr>
      <w:r>
        <w:rPr>
          <w:rFonts w:hint="eastAsia" w:ascii="仿宋" w:hAnsi="仿宋" w:eastAsia="仿宋"/>
          <w:b/>
          <w:sz w:val="36"/>
          <w:szCs w:val="36"/>
        </w:rPr>
        <w:t>项目编号：</w:t>
      </w:r>
      <w:bookmarkStart w:id="2" w:name="_Toc160880485"/>
      <w:bookmarkStart w:id="3" w:name="_Toc169332792"/>
      <w:bookmarkStart w:id="4" w:name="_Toc160880118"/>
      <w:r>
        <w:rPr>
          <w:rFonts w:hint="eastAsia" w:ascii="仿宋" w:hAnsi="仿宋" w:eastAsia="仿宋"/>
          <w:b/>
          <w:sz w:val="36"/>
          <w:szCs w:val="36"/>
        </w:rPr>
        <w:t>ZWC-2021037</w:t>
      </w:r>
    </w:p>
    <w:p>
      <w:pPr>
        <w:keepNext w:val="0"/>
        <w:keepLines w:val="0"/>
        <w:pageBreakBefore w:val="0"/>
        <w:widowControl/>
        <w:kinsoku/>
        <w:wordWrap/>
        <w:overflowPunct/>
        <w:topLinePunct w:val="0"/>
        <w:autoSpaceDE/>
        <w:autoSpaceDN/>
        <w:bidi w:val="0"/>
        <w:adjustRightInd/>
        <w:snapToGrid/>
        <w:spacing w:line="500" w:lineRule="exact"/>
        <w:ind w:left="2200" w:leftChars="1000"/>
        <w:textAlignment w:val="auto"/>
        <w:rPr>
          <w:rFonts w:hint="eastAsia" w:ascii="仿宋" w:hAnsi="仿宋" w:eastAsia="仿宋"/>
          <w:b/>
          <w:sz w:val="36"/>
          <w:szCs w:val="36"/>
          <w:lang w:eastAsia="zh-CN"/>
        </w:rPr>
      </w:pPr>
      <w:r>
        <w:rPr>
          <w:rFonts w:hint="eastAsia" w:ascii="仿宋" w:hAnsi="仿宋" w:eastAsia="仿宋"/>
          <w:b/>
          <w:sz w:val="36"/>
          <w:szCs w:val="36"/>
        </w:rPr>
        <w:t>项目名称</w:t>
      </w:r>
      <w:bookmarkEnd w:id="2"/>
      <w:bookmarkEnd w:id="3"/>
      <w:bookmarkEnd w:id="4"/>
      <w:r>
        <w:rPr>
          <w:rFonts w:hint="eastAsia" w:ascii="仿宋" w:hAnsi="仿宋" w:eastAsia="仿宋"/>
          <w:b/>
          <w:sz w:val="36"/>
          <w:szCs w:val="36"/>
        </w:rPr>
        <w:t>：2021年舞蹈实验室建设</w:t>
      </w:r>
      <w:r>
        <w:rPr>
          <w:rFonts w:hint="eastAsia" w:ascii="仿宋" w:hAnsi="仿宋" w:eastAsia="仿宋"/>
          <w:b/>
          <w:sz w:val="36"/>
          <w:szCs w:val="36"/>
          <w:lang w:val="en-US" w:eastAsia="zh-CN"/>
        </w:rPr>
        <w:t>项目</w:t>
      </w:r>
      <w:r>
        <w:rPr>
          <w:rFonts w:hint="eastAsia" w:ascii="仿宋" w:hAnsi="仿宋" w:eastAsia="仿宋"/>
          <w:b/>
          <w:sz w:val="36"/>
          <w:szCs w:val="36"/>
          <w:lang w:eastAsia="zh-CN"/>
        </w:rPr>
        <w:t>（</w:t>
      </w:r>
      <w:r>
        <w:rPr>
          <w:rFonts w:hint="eastAsia" w:ascii="仿宋" w:hAnsi="仿宋" w:eastAsia="仿宋"/>
          <w:b/>
          <w:sz w:val="36"/>
          <w:szCs w:val="36"/>
          <w:lang w:val="en-US" w:eastAsia="zh-CN"/>
        </w:rPr>
        <w:t>二次</w:t>
      </w:r>
      <w:r>
        <w:rPr>
          <w:rFonts w:hint="eastAsia" w:ascii="仿宋" w:hAnsi="仿宋" w:eastAsia="仿宋"/>
          <w:b/>
          <w:sz w:val="36"/>
          <w:szCs w:val="36"/>
          <w:lang w:eastAsia="zh-CN"/>
        </w:rPr>
        <w:t>）</w:t>
      </w:r>
    </w:p>
    <w:p>
      <w:pPr>
        <w:rPr>
          <w:rFonts w:ascii="仿宋" w:hAnsi="仿宋" w:eastAsia="仿宋"/>
          <w:sz w:val="24"/>
        </w:rPr>
      </w:pPr>
      <w:r>
        <w:rPr>
          <w:rFonts w:hint="eastAsia" w:ascii="仿宋" w:hAnsi="仿宋" w:eastAsia="仿宋"/>
          <w:sz w:val="24"/>
        </w:rPr>
        <w:br w:type="page"/>
      </w:r>
    </w:p>
    <w:p>
      <w:pPr>
        <w:spacing w:line="500" w:lineRule="exact"/>
        <w:ind w:firstLine="2849" w:firstLineChars="645"/>
        <w:rPr>
          <w:rFonts w:ascii="仿宋" w:hAnsi="仿宋" w:eastAsia="仿宋"/>
          <w:b/>
          <w:sz w:val="44"/>
          <w:szCs w:val="44"/>
        </w:rPr>
      </w:pPr>
      <w:bookmarkStart w:id="5" w:name="_Hlk67754059"/>
      <w:r>
        <w:rPr>
          <w:rFonts w:hint="eastAsia" w:ascii="仿宋" w:hAnsi="仿宋" w:eastAsia="仿宋"/>
          <w:b/>
          <w:sz w:val="44"/>
          <w:szCs w:val="44"/>
        </w:rPr>
        <w:t>一、询价邀请函</w:t>
      </w:r>
    </w:p>
    <w:bookmarkEnd w:id="5"/>
    <w:p>
      <w:pPr>
        <w:spacing w:after="0" w:line="500" w:lineRule="exact"/>
        <w:ind w:firstLine="560" w:firstLineChars="200"/>
        <w:rPr>
          <w:rFonts w:ascii="仿宋" w:hAnsi="仿宋" w:eastAsia="仿宋"/>
          <w:sz w:val="28"/>
          <w:szCs w:val="28"/>
        </w:rPr>
      </w:pPr>
      <w:bookmarkStart w:id="6" w:name="_Hlk10840310"/>
      <w:r>
        <w:rPr>
          <w:rFonts w:hint="eastAsia" w:ascii="仿宋" w:hAnsi="仿宋" w:eastAsia="仿宋"/>
          <w:sz w:val="28"/>
          <w:szCs w:val="28"/>
        </w:rPr>
        <w:t>重庆外语外事学院始建于2001年，是纳入国家普通高等教育招生计划、具有学士学位授予权的全日制普通本科高等学校。学校占地面积1572亩，学生规模约1.5万人。根据需要，钢琴教学实验室建设项目进行公开询价，欢迎国内合格参与人参与。</w:t>
      </w:r>
    </w:p>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一、项目说明</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项目编号：ZWC-2021037</w:t>
      </w:r>
    </w:p>
    <w:p>
      <w:pPr>
        <w:widowControl w:val="0"/>
        <w:tabs>
          <w:tab w:val="left" w:pos="839"/>
          <w:tab w:val="left" w:pos="1469"/>
        </w:tabs>
        <w:spacing w:after="0" w:line="500" w:lineRule="exact"/>
        <w:rPr>
          <w:rFonts w:hint="eastAsia" w:ascii="仿宋" w:hAnsi="仿宋" w:eastAsia="仿宋"/>
          <w:color w:val="000000" w:themeColor="text1"/>
          <w:sz w:val="28"/>
          <w:szCs w:val="28"/>
          <w:lang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项目名称：2021年</w:t>
      </w:r>
      <w:r>
        <w:rPr>
          <w:rFonts w:hint="eastAsia" w:ascii="仿宋" w:hAnsi="仿宋" w:eastAsia="仿宋"/>
          <w:color w:val="000000"/>
          <w:sz w:val="28"/>
          <w:szCs w:val="28"/>
        </w:rPr>
        <w:t>舞蹈实验室建设</w:t>
      </w:r>
      <w:r>
        <w:rPr>
          <w:rFonts w:hint="eastAsia" w:ascii="仿宋" w:hAnsi="仿宋" w:eastAsia="仿宋"/>
          <w:color w:val="000000" w:themeColor="text1"/>
          <w:sz w:val="28"/>
          <w:szCs w:val="28"/>
          <w14:textFill>
            <w14:solidFill>
              <w14:schemeClr w14:val="tx1"/>
            </w14:solidFill>
          </w14:textFill>
        </w:rPr>
        <w:t>项目</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二次</w:t>
      </w:r>
      <w:r>
        <w:rPr>
          <w:rFonts w:hint="eastAsia" w:ascii="仿宋" w:hAnsi="仿宋" w:eastAsia="仿宋"/>
          <w:color w:val="000000" w:themeColor="text1"/>
          <w:sz w:val="28"/>
          <w:szCs w:val="28"/>
          <w:lang w:eastAsia="zh-CN"/>
          <w14:textFill>
            <w14:solidFill>
              <w14:schemeClr w14:val="tx1"/>
            </w14:solidFill>
          </w14:textFill>
        </w:rPr>
        <w:t>）</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数量及主要技术要求:</w:t>
      </w:r>
      <w:r>
        <w:rPr>
          <w:rFonts w:hint="eastAsia" w:ascii="仿宋" w:hAnsi="仿宋" w:eastAsia="仿宋"/>
          <w:color w:val="000000" w:themeColor="text1"/>
          <w:sz w:val="28"/>
          <w:szCs w:val="28"/>
          <w:lang w:val="en-US" w:eastAsia="zh-CN"/>
          <w14:textFill>
            <w14:solidFill>
              <w14:schemeClr w14:val="tx1"/>
            </w14:solidFill>
          </w14:textFill>
        </w:rPr>
        <w:t>舞蹈实验室1间，</w:t>
      </w:r>
      <w:r>
        <w:rPr>
          <w:rFonts w:hint="eastAsia" w:ascii="仿宋" w:hAnsi="仿宋" w:eastAsia="仿宋"/>
          <w:color w:val="000000" w:themeColor="text1"/>
          <w:sz w:val="28"/>
          <w:szCs w:val="28"/>
          <w14:textFill>
            <w14:solidFill>
              <w14:schemeClr w14:val="tx1"/>
            </w14:solidFill>
          </w14:textFill>
        </w:rPr>
        <w:t>详见《公开询价一览表》</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参与人资格标准：</w:t>
      </w:r>
      <w:r>
        <w:rPr>
          <w:rFonts w:ascii="仿宋" w:hAnsi="仿宋" w:eastAsia="仿宋"/>
          <w:color w:val="000000" w:themeColor="text1"/>
          <w:sz w:val="28"/>
          <w:szCs w:val="28"/>
          <w14:textFill>
            <w14:solidFill>
              <w14:schemeClr w14:val="tx1"/>
            </w14:solidFill>
          </w14:textFill>
        </w:rPr>
        <w:t xml:space="preserve"> </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（1）参与人应具有独立法人资格，具有相关工程装修、维修经营范围。</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（2）参与人应在重庆市范围有固定售后服务机构，具备相应的服务能力。</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（3）参与人应遵守中国的有关法律、法规和规章的规定。</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（4）参与人具有三年以上（包括三年）3个以上同类项目销售和良好的售后服务应用成功案例（提供文字或图片),近三年未发生重大安全或质量事故。</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（5）参与人须有良好的商业信誉和健全的财务制度。</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（6）参与人有依法缴纳税金的良好记录。</w:t>
      </w:r>
    </w:p>
    <w:p>
      <w:pPr>
        <w:pStyle w:val="62"/>
        <w:spacing w:after="0" w:line="400" w:lineRule="exact"/>
        <w:ind w:left="709" w:hanging="709" w:firstLineChars="0"/>
        <w:jc w:val="left"/>
        <w:rPr>
          <w:rFonts w:ascii="仿宋" w:hAnsi="仿宋" w:eastAsia="仿宋"/>
          <w:sz w:val="28"/>
          <w:szCs w:val="28"/>
        </w:rPr>
      </w:pPr>
      <w:r>
        <w:rPr>
          <w:rFonts w:hint="eastAsia" w:ascii="仿宋" w:hAnsi="仿宋" w:eastAsia="仿宋"/>
          <w:sz w:val="28"/>
          <w:szCs w:val="28"/>
        </w:rPr>
        <w:t>（7）参与人应提供下列资格证明文件，否则其响应文件将被拒绝：</w:t>
      </w:r>
    </w:p>
    <w:p>
      <w:pPr>
        <w:widowControl w:val="0"/>
        <w:tabs>
          <w:tab w:val="left" w:pos="839"/>
          <w:tab w:val="left" w:pos="1469"/>
        </w:tabs>
        <w:spacing w:after="0" w:line="500" w:lineRule="exact"/>
        <w:ind w:left="660" w:leftChars="300"/>
        <w:rPr>
          <w:rFonts w:ascii="仿宋" w:hAnsi="仿宋" w:eastAsia="仿宋"/>
          <w:sz w:val="28"/>
          <w:szCs w:val="28"/>
        </w:rPr>
      </w:pPr>
      <w:r>
        <w:rPr>
          <w:rFonts w:hint="eastAsia" w:ascii="仿宋" w:hAnsi="仿宋" w:eastAsia="仿宋"/>
          <w:sz w:val="28"/>
          <w:szCs w:val="28"/>
        </w:rPr>
        <w:t>1）营业执照副本、税务登记证副本、组织机构代码证副本(三证合一的只需提供带有社会信用代码的营业执照)；</w:t>
      </w:r>
    </w:p>
    <w:p>
      <w:pPr>
        <w:widowControl w:val="0"/>
        <w:tabs>
          <w:tab w:val="left" w:pos="839"/>
          <w:tab w:val="left" w:pos="1469"/>
        </w:tabs>
        <w:spacing w:after="0" w:line="500" w:lineRule="exact"/>
        <w:ind w:left="660" w:leftChars="300"/>
        <w:rPr>
          <w:rFonts w:ascii="仿宋" w:hAnsi="仿宋" w:eastAsia="仿宋"/>
          <w:sz w:val="28"/>
          <w:szCs w:val="28"/>
        </w:rPr>
      </w:pPr>
      <w:r>
        <w:rPr>
          <w:rFonts w:hint="eastAsia" w:ascii="仿宋" w:hAnsi="仿宋" w:eastAsia="仿宋"/>
          <w:sz w:val="28"/>
          <w:szCs w:val="28"/>
        </w:rPr>
        <w:t>2）授权代理商需提供厂家授权证明；</w:t>
      </w:r>
    </w:p>
    <w:p>
      <w:pPr>
        <w:widowControl w:val="0"/>
        <w:tabs>
          <w:tab w:val="left" w:pos="839"/>
          <w:tab w:val="left" w:pos="1469"/>
        </w:tabs>
        <w:spacing w:after="0" w:line="500" w:lineRule="exact"/>
        <w:ind w:left="660" w:leftChars="300"/>
        <w:rPr>
          <w:rFonts w:ascii="仿宋" w:hAnsi="仿宋" w:eastAsia="仿宋"/>
          <w:sz w:val="28"/>
          <w:szCs w:val="28"/>
        </w:rPr>
      </w:pPr>
      <w:r>
        <w:rPr>
          <w:rFonts w:hint="eastAsia" w:ascii="仿宋" w:hAnsi="仿宋" w:eastAsia="仿宋"/>
          <w:sz w:val="28"/>
          <w:szCs w:val="28"/>
        </w:rPr>
        <w:t>3）2020年公司财务报表及纳税证明；</w:t>
      </w:r>
    </w:p>
    <w:p>
      <w:pPr>
        <w:widowControl w:val="0"/>
        <w:tabs>
          <w:tab w:val="left" w:pos="839"/>
          <w:tab w:val="left" w:pos="1469"/>
        </w:tabs>
        <w:spacing w:after="0" w:line="500" w:lineRule="exact"/>
        <w:ind w:left="660" w:leftChars="300"/>
        <w:rPr>
          <w:rFonts w:ascii="仿宋" w:hAnsi="仿宋" w:eastAsia="仿宋"/>
          <w:sz w:val="28"/>
          <w:szCs w:val="28"/>
        </w:rPr>
      </w:pPr>
      <w:r>
        <w:rPr>
          <w:rFonts w:hint="eastAsia" w:ascii="仿宋" w:hAnsi="仿宋" w:eastAsia="仿宋"/>
          <w:sz w:val="28"/>
          <w:szCs w:val="28"/>
        </w:rPr>
        <w:t>4）社会保障资金的缴纳记录证明。</w:t>
      </w:r>
    </w:p>
    <w:p>
      <w:pPr>
        <w:spacing w:after="0" w:line="400" w:lineRule="exact"/>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报价响应文件递交方式：</w:t>
      </w:r>
      <w:r>
        <w:rPr>
          <w:rFonts w:hint="eastAsia" w:ascii="仿宋" w:hAnsi="仿宋" w:eastAsia="仿宋"/>
          <w:b/>
          <w:bCs/>
          <w:sz w:val="28"/>
          <w:szCs w:val="28"/>
        </w:rPr>
        <w:t>密封报价并使用现场报送</w:t>
      </w:r>
      <w:r>
        <w:rPr>
          <w:rFonts w:hint="eastAsia" w:ascii="仿宋" w:hAnsi="仿宋" w:eastAsia="仿宋"/>
          <w:sz w:val="28"/>
          <w:szCs w:val="28"/>
        </w:rPr>
        <w:t>。</w:t>
      </w:r>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w:t>
      </w:r>
      <w:r>
        <w:rPr>
          <w:rFonts w:hint="eastAsia" w:ascii="仿宋" w:hAnsi="仿宋" w:eastAsia="仿宋"/>
          <w:sz w:val="28"/>
          <w:szCs w:val="28"/>
          <w:shd w:val="clear" w:color="auto" w:fill="FFFFFF"/>
        </w:rPr>
        <w:t>2021年07</w:t>
      </w:r>
      <w:r>
        <w:rPr>
          <w:rFonts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30</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上午11：00前。</w:t>
      </w:r>
    </w:p>
    <w:p>
      <w:pPr>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报价响应文件递交地点：</w:t>
      </w:r>
      <w:r>
        <w:rPr>
          <w:rFonts w:hint="eastAsia" w:ascii="仿宋" w:hAnsi="仿宋" w:eastAsia="仿宋"/>
          <w:sz w:val="28"/>
          <w:szCs w:val="28"/>
        </w:rPr>
        <w:t>渝北区回兴龙石路18号学院办公楼二楼</w:t>
      </w:r>
      <w:r>
        <w:rPr>
          <w:rFonts w:ascii="仿宋" w:hAnsi="仿宋" w:eastAsia="仿宋"/>
          <w:sz w:val="28"/>
          <w:szCs w:val="28"/>
        </w:rPr>
        <w:t>202</w:t>
      </w:r>
      <w:r>
        <w:rPr>
          <w:rFonts w:hint="eastAsia" w:ascii="仿宋" w:hAnsi="仿宋" w:eastAsia="仿宋"/>
          <w:sz w:val="28"/>
          <w:szCs w:val="28"/>
        </w:rPr>
        <w:t>室。</w:t>
      </w:r>
    </w:p>
    <w:p>
      <w:pPr>
        <w:spacing w:after="0" w:line="440" w:lineRule="exact"/>
        <w:ind w:left="839"/>
        <w:rPr>
          <w:rFonts w:ascii="仿宋" w:hAnsi="仿宋" w:eastAsia="仿宋"/>
          <w:b/>
          <w:bCs/>
          <w:sz w:val="28"/>
          <w:szCs w:val="28"/>
        </w:rPr>
      </w:pPr>
      <w:bookmarkStart w:id="7" w:name="_Hlk67753493"/>
      <w:r>
        <w:rPr>
          <w:rFonts w:hint="eastAsia" w:ascii="仿宋" w:hAnsi="仿宋" w:eastAsia="仿宋"/>
          <w:b/>
          <w:bCs/>
          <w:sz w:val="28"/>
          <w:szCs w:val="28"/>
        </w:rPr>
        <w:t xml:space="preserve">联系人：喻峻  </w:t>
      </w:r>
      <w:r>
        <w:rPr>
          <w:rFonts w:ascii="仿宋" w:hAnsi="仿宋" w:eastAsia="仿宋"/>
          <w:b/>
          <w:bCs/>
          <w:sz w:val="28"/>
          <w:szCs w:val="28"/>
        </w:rPr>
        <w:t xml:space="preserve">        </w:t>
      </w:r>
      <w:r>
        <w:rPr>
          <w:rFonts w:hint="eastAsia" w:ascii="仿宋" w:hAnsi="仿宋" w:eastAsia="仿宋"/>
          <w:b/>
          <w:bCs/>
          <w:sz w:val="28"/>
          <w:szCs w:val="28"/>
        </w:rPr>
        <w:t>联系电话：</w:t>
      </w:r>
      <w:r>
        <w:rPr>
          <w:rFonts w:ascii="仿宋" w:hAnsi="仿宋" w:eastAsia="仿宋"/>
          <w:b/>
          <w:bCs/>
          <w:sz w:val="28"/>
          <w:szCs w:val="28"/>
        </w:rPr>
        <w:t>18502371287</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项目答疑人：</w:t>
      </w:r>
      <w:r>
        <w:rPr>
          <w:rFonts w:hint="eastAsia" w:ascii="仿宋" w:hAnsi="仿宋" w:eastAsia="仿宋"/>
          <w:b/>
          <w:bCs/>
          <w:sz w:val="28"/>
          <w:szCs w:val="28"/>
          <w:lang w:val="en-US" w:eastAsia="zh-CN"/>
        </w:rPr>
        <w:t xml:space="preserve">皮瑞  </w:t>
      </w:r>
      <w:r>
        <w:rPr>
          <w:rFonts w:ascii="仿宋" w:hAnsi="仿宋" w:eastAsia="仿宋"/>
          <w:b/>
          <w:bCs/>
          <w:sz w:val="28"/>
          <w:szCs w:val="28"/>
        </w:rPr>
        <w:t xml:space="preserve">    </w:t>
      </w:r>
      <w:r>
        <w:rPr>
          <w:rFonts w:hint="eastAsia" w:ascii="仿宋" w:hAnsi="仿宋" w:eastAsia="仿宋"/>
          <w:b/>
          <w:bCs/>
          <w:sz w:val="28"/>
          <w:szCs w:val="28"/>
        </w:rPr>
        <w:t>联系电话：18223273384</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注：响应文件按以上地址送达</w:t>
      </w:r>
    </w:p>
    <w:bookmarkEnd w:id="7"/>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二、参与人须知</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1.所有货物及施工改造服务等均以人民币报价；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2.报价响应文件2份，报价响应文件</w:t>
      </w:r>
      <w:r>
        <w:rPr>
          <w:rFonts w:ascii="仿宋" w:hAnsi="仿宋" w:eastAsia="仿宋"/>
          <w:color w:val="000000" w:themeColor="text1"/>
          <w:sz w:val="28"/>
          <w:szCs w:val="28"/>
          <w14:textFill>
            <w14:solidFill>
              <w14:schemeClr w14:val="tx1"/>
            </w14:solidFill>
          </w14:textFill>
        </w:rPr>
        <w:t>必须用A4幅面纸张打印</w:t>
      </w:r>
      <w:r>
        <w:rPr>
          <w:rFonts w:hint="eastAsia" w:ascii="仿宋" w:hAnsi="仿宋" w:eastAsia="仿宋"/>
          <w:color w:val="000000" w:themeColor="text1"/>
          <w:sz w:val="28"/>
          <w:szCs w:val="28"/>
          <w14:textFill>
            <w14:solidFill>
              <w14:schemeClr w14:val="tx1"/>
            </w14:solidFill>
          </w14:textFill>
        </w:rPr>
        <w:t>，须由参与人填写并加盖公章（正本1份副本1份）；</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3.报价响应文件用不退色墨水书写或打印，因字迹潦草或表达不清所引起的后果由参与人自负；</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报价响应文件及所有相关资料需同时进行密封处理，并在密封处加盖公章，未做密封处理及未加盖公章的视为无效报价；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5.一个参与人只能提交一个报价响应文件。但如果参与人之间存在下列互为关联关系情形之一的，不得同时参加本项目报价：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法定代表人为同一人的两个及两个以上法人；</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母公司、直接或间接持股50％及以上的被投资公司;</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均为同一家母公司直接或间接持股50％及以上的被投资公司。</w:t>
      </w:r>
    </w:p>
    <w:p>
      <w:pPr>
        <w:spacing w:after="0" w:line="440" w:lineRule="exact"/>
        <w:jc w:val="left"/>
        <w:rPr>
          <w:rFonts w:ascii="仿宋" w:hAnsi="仿宋" w:eastAsia="仿宋"/>
          <w:sz w:val="28"/>
          <w:szCs w:val="28"/>
        </w:rPr>
      </w:pPr>
      <w:r>
        <w:rPr>
          <w:rFonts w:hint="eastAsia" w:ascii="仿宋" w:hAnsi="仿宋" w:eastAsia="仿宋"/>
          <w:sz w:val="28"/>
          <w:szCs w:val="28"/>
        </w:rPr>
        <w:t>三、质保和后期服务要求</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1.免费保修期，</w:t>
      </w:r>
      <w:r>
        <w:rPr>
          <w:rFonts w:hint="eastAsia" w:ascii="仿宋" w:hAnsi="仿宋" w:eastAsia="仿宋"/>
          <w:sz w:val="28"/>
          <w:szCs w:val="28"/>
          <w:lang w:val="en-US" w:eastAsia="zh-CN"/>
        </w:rPr>
        <w:t>壹</w:t>
      </w:r>
      <w:r>
        <w:rPr>
          <w:rFonts w:hint="eastAsia" w:ascii="仿宋" w:hAnsi="仿宋" w:eastAsia="仿宋"/>
          <w:sz w:val="28"/>
          <w:szCs w:val="28"/>
        </w:rPr>
        <w:t>年以上；</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2.应急保修时间安排，报修后2天内完成；</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3.请提供报修联系电话及联系人员；</w:t>
      </w:r>
    </w:p>
    <w:p>
      <w:pPr>
        <w:spacing w:after="0" w:line="440" w:lineRule="exact"/>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440" w:lineRule="exact"/>
        <w:ind w:firstLine="560" w:firstLineChars="200"/>
        <w:jc w:val="left"/>
        <w:rPr>
          <w:rFonts w:ascii="仿宋" w:hAnsi="仿宋" w:eastAsia="仿宋"/>
          <w:sz w:val="28"/>
          <w:szCs w:val="28"/>
        </w:rPr>
      </w:pPr>
      <w:r>
        <w:rPr>
          <w:rFonts w:hint="eastAsia" w:ascii="仿宋" w:hAnsi="仿宋" w:eastAsia="仿宋"/>
          <w:sz w:val="28"/>
          <w:szCs w:val="28"/>
        </w:rPr>
        <w:t>所投材料及设备符合采购需求、质量和服务要求,经过磋商所报价格为合理价格的参与人为成交参与人，最低报价不作为成交的保证。</w:t>
      </w:r>
    </w:p>
    <w:p>
      <w:pPr>
        <w:spacing w:after="0" w:line="440" w:lineRule="exact"/>
        <w:rPr>
          <w:rFonts w:ascii="仿宋" w:hAnsi="仿宋" w:eastAsia="仿宋"/>
          <w:b/>
          <w:bCs/>
          <w:sz w:val="28"/>
          <w:szCs w:val="28"/>
        </w:rPr>
      </w:pPr>
      <w:r>
        <w:rPr>
          <w:rFonts w:hint="eastAsia" w:ascii="仿宋" w:hAnsi="仿宋" w:eastAsia="仿宋"/>
          <w:b/>
          <w:bCs/>
          <w:sz w:val="28"/>
          <w:szCs w:val="28"/>
        </w:rPr>
        <w:t>本项目监督投诉部门：中教集团内控部；投诉电话： 0791-88102608；</w:t>
      </w:r>
    </w:p>
    <w:p>
      <w:pPr>
        <w:spacing w:after="0" w:line="440" w:lineRule="exact"/>
        <w:rPr>
          <w:rFonts w:ascii="仿宋" w:hAnsi="仿宋" w:eastAsia="仿宋"/>
          <w:b/>
          <w:bCs/>
          <w:sz w:val="28"/>
          <w:szCs w:val="28"/>
        </w:rPr>
      </w:pPr>
      <w:r>
        <w:rPr>
          <w:rFonts w:hint="eastAsia" w:ascii="仿宋" w:hAnsi="仿宋" w:eastAsia="仿宋"/>
          <w:b/>
          <w:bCs/>
          <w:sz w:val="28"/>
          <w:szCs w:val="28"/>
        </w:rPr>
        <w:t>投诉邮箱：Neikongbu@educationgroup.cn</w:t>
      </w:r>
    </w:p>
    <w:p>
      <w:pPr>
        <w:spacing w:after="0" w:line="440" w:lineRule="exact"/>
        <w:rPr>
          <w:rFonts w:ascii="仿宋" w:hAnsi="仿宋" w:eastAsia="仿宋"/>
          <w:b/>
          <w:bCs/>
          <w:sz w:val="28"/>
          <w:szCs w:val="28"/>
        </w:rPr>
      </w:pPr>
      <w:r>
        <w:rPr>
          <w:rFonts w:hint="eastAsia" w:ascii="仿宋" w:hAnsi="仿宋" w:eastAsia="仿宋"/>
          <w:b/>
          <w:bCs/>
          <w:sz w:val="28"/>
          <w:szCs w:val="28"/>
        </w:rPr>
        <w:t>本项目最终成交结果会在中教集团后勤贤知平台“中标信息公示”板块公示，网址：www.ceghqxz.com</w:t>
      </w: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sectPr>
          <w:headerReference r:id="rId5" w:type="default"/>
          <w:footerReference r:id="rId6" w:type="default"/>
          <w:pgSz w:w="11906" w:h="16838"/>
          <w:pgMar w:top="1440" w:right="1416" w:bottom="1440" w:left="1134" w:header="283" w:footer="227" w:gutter="0"/>
          <w:cols w:space="425" w:num="1"/>
          <w:titlePg/>
          <w:docGrid w:type="lines" w:linePitch="312" w:charSpace="0"/>
        </w:sectPr>
      </w:pPr>
    </w:p>
    <w:p>
      <w:pPr>
        <w:pStyle w:val="61"/>
        <w:spacing w:line="360" w:lineRule="auto"/>
        <w:jc w:val="center"/>
        <w:outlineLvl w:val="0"/>
        <w:rPr>
          <w:rFonts w:ascii="仿宋" w:hAnsi="仿宋" w:eastAsia="仿宋"/>
          <w:b/>
          <w:color w:val="000000" w:themeColor="text1"/>
          <w:sz w:val="44"/>
          <w:szCs w:val="44"/>
          <w14:textFill>
            <w14:solidFill>
              <w14:schemeClr w14:val="tx1"/>
            </w14:solidFill>
          </w14:textFill>
        </w:rPr>
      </w:pPr>
      <w:bookmarkStart w:id="8" w:name="_Hlk61444720"/>
      <w:r>
        <w:rPr>
          <w:rFonts w:hint="eastAsia" w:ascii="仿宋" w:hAnsi="仿宋" w:eastAsia="仿宋"/>
          <w:b/>
          <w:color w:val="000000" w:themeColor="text1"/>
          <w:sz w:val="44"/>
          <w:szCs w:val="44"/>
          <w14:textFill>
            <w14:solidFill>
              <w14:schemeClr w14:val="tx1"/>
            </w14:solidFill>
          </w14:textFill>
        </w:rPr>
        <w:t>二、公开询价</w:t>
      </w:r>
      <w:bookmarkEnd w:id="6"/>
      <w:r>
        <w:rPr>
          <w:rFonts w:hint="eastAsia" w:ascii="仿宋" w:hAnsi="仿宋" w:eastAsia="仿宋"/>
          <w:b/>
          <w:color w:val="000000" w:themeColor="text1"/>
          <w:sz w:val="44"/>
          <w:szCs w:val="44"/>
          <w14:textFill>
            <w14:solidFill>
              <w14:schemeClr w14:val="tx1"/>
            </w14:solidFill>
          </w14:textFill>
        </w:rPr>
        <w:t>项目介绍</w:t>
      </w:r>
    </w:p>
    <w:bookmarkEnd w:id="8"/>
    <w:p>
      <w:pPr>
        <w:spacing w:after="0" w:line="500" w:lineRule="exact"/>
        <w:ind w:left="1968" w:hanging="1968" w:hangingChars="700"/>
        <w:rPr>
          <w:rFonts w:hint="eastAsia" w:ascii="仿宋" w:hAnsi="仿宋" w:eastAsia="仿宋"/>
          <w:b/>
          <w:sz w:val="28"/>
          <w:szCs w:val="28"/>
          <w:lang w:eastAsia="zh-CN"/>
        </w:rPr>
      </w:pPr>
      <w:bookmarkStart w:id="9" w:name="_Hlk46845989"/>
      <w:r>
        <w:rPr>
          <w:rFonts w:hint="eastAsia" w:ascii="仿宋" w:hAnsi="仿宋" w:eastAsia="仿宋"/>
          <w:b/>
          <w:sz w:val="28"/>
          <w:szCs w:val="28"/>
        </w:rPr>
        <w:t>一、项目名称：</w:t>
      </w:r>
      <w:r>
        <w:rPr>
          <w:rFonts w:hint="eastAsia" w:ascii="仿宋" w:hAnsi="仿宋" w:eastAsia="仿宋"/>
          <w:bCs/>
          <w:sz w:val="28"/>
          <w:szCs w:val="28"/>
        </w:rPr>
        <w:t>2021年舞蹈实验室建设项目</w:t>
      </w:r>
      <w:r>
        <w:rPr>
          <w:rFonts w:hint="eastAsia" w:ascii="仿宋" w:hAnsi="仿宋" w:eastAsia="仿宋"/>
          <w:bCs/>
          <w:sz w:val="28"/>
          <w:szCs w:val="28"/>
          <w:lang w:eastAsia="zh-CN"/>
        </w:rPr>
        <w:t>（</w:t>
      </w:r>
      <w:r>
        <w:rPr>
          <w:rFonts w:hint="eastAsia" w:ascii="仿宋" w:hAnsi="仿宋" w:eastAsia="仿宋"/>
          <w:bCs/>
          <w:sz w:val="28"/>
          <w:szCs w:val="28"/>
          <w:lang w:val="en-US" w:eastAsia="zh-CN"/>
        </w:rPr>
        <w:t>二次</w:t>
      </w:r>
      <w:r>
        <w:rPr>
          <w:rFonts w:hint="eastAsia" w:ascii="仿宋" w:hAnsi="仿宋" w:eastAsia="仿宋"/>
          <w:bCs/>
          <w:sz w:val="28"/>
          <w:szCs w:val="28"/>
          <w:lang w:eastAsia="zh-CN"/>
        </w:rPr>
        <w:t>）</w:t>
      </w:r>
    </w:p>
    <w:p>
      <w:pPr>
        <w:spacing w:after="0" w:line="500" w:lineRule="exact"/>
        <w:ind w:left="1985" w:hanging="1985" w:hangingChars="706"/>
        <w:rPr>
          <w:rFonts w:ascii="仿宋" w:hAnsi="仿宋" w:eastAsia="仿宋"/>
          <w:color w:val="000000" w:themeColor="text1"/>
          <w:sz w:val="28"/>
          <w:szCs w:val="28"/>
          <w14:textFill>
            <w14:solidFill>
              <w14:schemeClr w14:val="tx1"/>
            </w14:solidFill>
          </w14:textFill>
        </w:rPr>
      </w:pPr>
      <w:r>
        <w:rPr>
          <w:rFonts w:hint="eastAsia" w:ascii="仿宋" w:hAnsi="仿宋" w:eastAsia="仿宋"/>
          <w:b/>
          <w:sz w:val="28"/>
          <w:szCs w:val="28"/>
        </w:rPr>
        <w:t>二、项目地点：</w:t>
      </w:r>
      <w:r>
        <w:rPr>
          <w:rFonts w:hint="eastAsia" w:ascii="仿宋" w:hAnsi="仿宋" w:eastAsia="仿宋"/>
          <w:color w:val="000000" w:themeColor="text1"/>
          <w:sz w:val="28"/>
          <w:szCs w:val="28"/>
          <w14:textFill>
            <w14:solidFill>
              <w14:schemeClr w14:val="tx1"/>
            </w14:solidFill>
          </w14:textFill>
        </w:rPr>
        <w:t>重庆市渝北区龙石路1</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号重庆外语外事学院艺术楼</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重庆外语外事学院对</w:t>
      </w:r>
      <w:r>
        <w:rPr>
          <w:rFonts w:hint="eastAsia" w:ascii="仿宋" w:hAnsi="仿宋" w:eastAsia="仿宋"/>
          <w:color w:val="000000" w:themeColor="text1"/>
          <w:sz w:val="28"/>
          <w:szCs w:val="28"/>
          <w14:textFill>
            <w14:solidFill>
              <w14:schemeClr w14:val="tx1"/>
            </w14:solidFill>
          </w14:textFill>
        </w:rPr>
        <w:t>舞蹈实验室建设项目</w:t>
      </w:r>
      <w:r>
        <w:rPr>
          <w:rFonts w:hint="eastAsia" w:ascii="仿宋" w:hAnsi="仿宋" w:eastAsia="仿宋"/>
          <w:sz w:val="28"/>
          <w:szCs w:val="28"/>
        </w:rPr>
        <w:t>实施公开询价，欢迎符合要求的参与单位参与。</w:t>
      </w:r>
    </w:p>
    <w:p>
      <w:pPr>
        <w:spacing w:after="0" w:line="440" w:lineRule="exact"/>
        <w:ind w:firstLine="560" w:firstLineChars="200"/>
        <w:rPr>
          <w:rFonts w:ascii="仿宋" w:hAnsi="仿宋" w:eastAsia="仿宋"/>
          <w:b/>
          <w:sz w:val="28"/>
          <w:szCs w:val="28"/>
        </w:rPr>
      </w:pPr>
      <w:r>
        <w:rPr>
          <w:rFonts w:hint="eastAsia" w:ascii="仿宋" w:hAnsi="仿宋" w:eastAsia="仿宋"/>
          <w:sz w:val="28"/>
          <w:szCs w:val="28"/>
        </w:rPr>
        <w:t>1．货物名称、数量、要求详见《公开询价货物一览表》。</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2．参与人对本次公开询价提供的货物必须为全新的原装正品。</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四、技术服务要求</w:t>
      </w:r>
    </w:p>
    <w:p>
      <w:pPr>
        <w:spacing w:after="0" w:line="440" w:lineRule="exact"/>
        <w:ind w:firstLine="567"/>
        <w:rPr>
          <w:rFonts w:ascii="仿宋" w:hAnsi="仿宋" w:eastAsia="仿宋"/>
          <w:sz w:val="28"/>
          <w:szCs w:val="28"/>
        </w:rPr>
      </w:pPr>
      <w:r>
        <w:rPr>
          <w:rFonts w:hint="eastAsia" w:ascii="仿宋" w:hAnsi="仿宋" w:eastAsia="仿宋"/>
          <w:sz w:val="28"/>
          <w:szCs w:val="28"/>
        </w:rPr>
        <w:t>1．按国家或行业或地方标准验收。产品质量应达到设计要求，应能通过质检等部门的检验。</w:t>
      </w:r>
    </w:p>
    <w:p>
      <w:pPr>
        <w:spacing w:after="0" w:line="440" w:lineRule="exact"/>
        <w:ind w:firstLine="567"/>
        <w:rPr>
          <w:rFonts w:ascii="仿宋" w:hAnsi="仿宋" w:eastAsia="仿宋"/>
          <w:sz w:val="28"/>
          <w:szCs w:val="28"/>
        </w:rPr>
      </w:pPr>
      <w:r>
        <w:rPr>
          <w:rFonts w:hint="eastAsia" w:ascii="仿宋" w:hAnsi="仿宋" w:eastAsia="仿宋"/>
          <w:sz w:val="28"/>
          <w:szCs w:val="28"/>
        </w:rPr>
        <w:t>2．成交参与人应按合同规定的时间和数量等货物运输至采购人项目所在地，过程中所发生的一切费用由成交参与人承担。</w:t>
      </w:r>
    </w:p>
    <w:p>
      <w:pPr>
        <w:spacing w:after="0" w:line="440" w:lineRule="exact"/>
        <w:ind w:firstLine="567"/>
        <w:rPr>
          <w:rFonts w:ascii="仿宋" w:hAnsi="仿宋" w:eastAsia="仿宋"/>
          <w:sz w:val="28"/>
          <w:szCs w:val="28"/>
        </w:rPr>
      </w:pPr>
      <w:r>
        <w:rPr>
          <w:rFonts w:hint="eastAsia" w:ascii="仿宋" w:hAnsi="仿宋" w:eastAsia="仿宋"/>
          <w:sz w:val="28"/>
          <w:szCs w:val="28"/>
        </w:rPr>
        <w:t>3．质量要求：完全符合成交条件所规定的质量、规格要求，必须为全新的未经使用，无损失运到现场。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五、评审标准和方法：</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（一）资格性审查：按参与人资格标准的各项要求逐项审查。</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注：资格性审查有其中一项不符合者不进入下一程序。</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（二）符合性审查</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1、技术要求：有任何超过三项不符合《公开询价货物一览表》附件中的技术要求的不进入下一程序。</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2、服务要求：参与人必须逐项承诺</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（1）交货时间：2021年08月20日前。</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（2）交货地点：重庆市渝北区龙石路1</w:t>
      </w:r>
      <w:r>
        <w:rPr>
          <w:rFonts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14:textFill>
            <w14:solidFill>
              <w14:schemeClr w14:val="tx1"/>
            </w14:solidFill>
          </w14:textFill>
        </w:rPr>
        <w:t>号。</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（3）到货率：根据交货时间到货率达到100%。</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（4）付款方式：安装完成验收合格付95%，</w:t>
      </w:r>
      <w:r>
        <w:rPr>
          <w:rFonts w:hint="eastAsia" w:ascii="仿宋" w:hAnsi="仿宋" w:eastAsia="仿宋"/>
          <w:bCs/>
          <w:color w:val="000000" w:themeColor="text1"/>
          <w:sz w:val="28"/>
          <w:szCs w:val="28"/>
          <w:lang w:val="en-US" w:eastAsia="zh-CN"/>
          <w14:textFill>
            <w14:solidFill>
              <w14:schemeClr w14:val="tx1"/>
            </w14:solidFill>
          </w14:textFill>
        </w:rPr>
        <w:t>验收合格之日起，满</w:t>
      </w:r>
      <w:r>
        <w:rPr>
          <w:rFonts w:hint="eastAsia" w:ascii="仿宋" w:hAnsi="仿宋" w:eastAsia="仿宋"/>
          <w:bCs/>
          <w:color w:val="000000" w:themeColor="text1"/>
          <w:sz w:val="28"/>
          <w:szCs w:val="28"/>
          <w14:textFill>
            <w14:solidFill>
              <w14:schemeClr w14:val="tx1"/>
            </w14:solidFill>
          </w14:textFill>
        </w:rPr>
        <w:t>一年</w:t>
      </w:r>
      <w:r>
        <w:rPr>
          <w:rFonts w:hint="eastAsia" w:ascii="仿宋" w:hAnsi="仿宋" w:eastAsia="仿宋"/>
          <w:bCs/>
          <w:color w:val="000000" w:themeColor="text1"/>
          <w:sz w:val="28"/>
          <w:szCs w:val="28"/>
          <w:lang w:val="en-US" w:eastAsia="zh-CN"/>
          <w14:textFill>
            <w14:solidFill>
              <w14:schemeClr w14:val="tx1"/>
            </w14:solidFill>
          </w14:textFill>
        </w:rPr>
        <w:t>且</w:t>
      </w:r>
      <w:r>
        <w:rPr>
          <w:rFonts w:hint="eastAsia" w:ascii="仿宋" w:hAnsi="仿宋" w:eastAsia="仿宋"/>
          <w:bCs/>
          <w:color w:val="000000" w:themeColor="text1"/>
          <w:sz w:val="28"/>
          <w:szCs w:val="28"/>
          <w14:textFill>
            <w14:solidFill>
              <w14:schemeClr w14:val="tx1"/>
            </w14:solidFill>
          </w14:textFill>
        </w:rPr>
        <w:t>无重大质量问题付5%。</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（5）验收承诺：详见第四条技术服务要求。</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（6）售后服务承诺：详见第六条售后服务要求。</w:t>
      </w:r>
    </w:p>
    <w:p>
      <w:pPr>
        <w:spacing w:after="0" w:line="5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本公开询价采购的评审方法采用综合评估法确定成交参与人。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六、售后服务要求</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项目整体质保期壹年，从验收合格之日起算。在保质期内，乙方应对非人为因素损坏的物品负责包换。</w:t>
      </w:r>
    </w:p>
    <w:p>
      <w:pPr>
        <w:spacing w:after="0" w:line="440" w:lineRule="exact"/>
        <w:rPr>
          <w:rFonts w:ascii="仿宋" w:hAnsi="仿宋" w:eastAsia="仿宋"/>
          <w:b/>
          <w:sz w:val="28"/>
          <w:szCs w:val="28"/>
        </w:rPr>
      </w:pPr>
      <w:r>
        <w:rPr>
          <w:rFonts w:hint="eastAsia" w:ascii="仿宋" w:hAnsi="仿宋" w:eastAsia="仿宋"/>
          <w:b/>
          <w:sz w:val="28"/>
          <w:szCs w:val="28"/>
        </w:rPr>
        <w:t>七、本技术规格及要求中所发生的费用全部包含在响应报价中，如本部分的要求与货物的具体要求和采购合同有冲突处，则以货物的具体要求和采购合同为准。</w:t>
      </w:r>
    </w:p>
    <w:p>
      <w:pPr>
        <w:spacing w:after="0" w:line="400" w:lineRule="exact"/>
        <w:ind w:firstLine="560" w:firstLineChars="200"/>
        <w:rPr>
          <w:rFonts w:ascii="仿宋" w:hAnsi="仿宋" w:eastAsia="仿宋"/>
          <w:sz w:val="28"/>
          <w:szCs w:val="28"/>
        </w:rPr>
      </w:pP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p>
    <w:bookmarkEnd w:id="9"/>
    <w:p>
      <w:pPr>
        <w:rPr>
          <w:rFonts w:ascii="仿宋" w:hAnsi="仿宋" w:eastAsia="仿宋"/>
          <w:b/>
          <w:color w:val="000000" w:themeColor="text1"/>
          <w:sz w:val="36"/>
          <w:szCs w:val="36"/>
          <w14:textFill>
            <w14:solidFill>
              <w14:schemeClr w14:val="tx1"/>
            </w14:solidFill>
          </w14:textFill>
        </w:rPr>
        <w:sectPr>
          <w:pgSz w:w="11906" w:h="16838"/>
          <w:pgMar w:top="1440" w:right="1274" w:bottom="1440" w:left="1134" w:header="567" w:footer="227" w:gutter="0"/>
          <w:cols w:space="425" w:num="1"/>
          <w:titlePg/>
          <w:docGrid w:type="lines" w:linePitch="312" w:charSpace="0"/>
        </w:sectPr>
      </w:pPr>
    </w:p>
    <w:p>
      <w:pPr>
        <w:pStyle w:val="61"/>
        <w:numPr>
          <w:ilvl w:val="0"/>
          <w:numId w:val="1"/>
        </w:numPr>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p>
    <w:tbl>
      <w:tblPr>
        <w:tblStyle w:val="27"/>
        <w:tblW w:w="13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05"/>
        <w:gridCol w:w="3438"/>
        <w:gridCol w:w="1186"/>
        <w:gridCol w:w="1279"/>
        <w:gridCol w:w="1514"/>
        <w:gridCol w:w="1125"/>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280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技术指标</w:t>
            </w:r>
          </w:p>
        </w:tc>
        <w:tc>
          <w:tcPr>
            <w:tcW w:w="1186"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单位</w:t>
            </w:r>
          </w:p>
        </w:tc>
        <w:tc>
          <w:tcPr>
            <w:tcW w:w="127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工程量</w:t>
            </w:r>
          </w:p>
        </w:tc>
        <w:tc>
          <w:tcPr>
            <w:tcW w:w="1514"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综合</w:t>
            </w:r>
            <w:r>
              <w:rPr>
                <w:rFonts w:hint="eastAsia" w:asciiTheme="minorEastAsia" w:hAnsiTheme="minorEastAsia" w:eastAsiaTheme="minorEastAsia" w:cstheme="minorEastAsia"/>
                <w:b/>
                <w:bCs/>
                <w:sz w:val="21"/>
                <w:szCs w:val="21"/>
              </w:rPr>
              <w:t>单价（元）</w:t>
            </w: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合价</w:t>
            </w:r>
            <w:r>
              <w:rPr>
                <w:rFonts w:hint="eastAsia" w:asciiTheme="minorEastAsia" w:hAnsiTheme="minorEastAsia" w:eastAsiaTheme="minorEastAsia" w:cstheme="minorEastAsia"/>
                <w:b/>
                <w:bCs/>
                <w:sz w:val="21"/>
                <w:szCs w:val="21"/>
              </w:rPr>
              <w:t>（元）</w:t>
            </w: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拆除瓷砖踢脚线</w:t>
            </w:r>
          </w:p>
        </w:tc>
        <w:tc>
          <w:tcPr>
            <w:tcW w:w="3438" w:type="dxa"/>
            <w:vAlign w:val="center"/>
          </w:tcPr>
          <w:p>
            <w:pPr>
              <w:keepNext w:val="0"/>
              <w:keepLines w:val="0"/>
              <w:pageBreakBefore w:val="0"/>
              <w:widowControl/>
              <w:numPr>
                <w:ilvl w:val="255"/>
                <w:numId w:val="0"/>
              </w:numPr>
              <w:tabs>
                <w:tab w:val="left" w:pos="220"/>
                <w:tab w:val="left" w:pos="720"/>
              </w:tabs>
              <w:kinsoku/>
              <w:wordWrap/>
              <w:overflowPunct/>
              <w:topLinePunct w:val="0"/>
              <w:autoSpaceDE w:val="0"/>
              <w:autoSpaceDN w:val="0"/>
              <w:bidi w:val="0"/>
              <w:adjustRightInd w:val="0"/>
              <w:snapToGrid w:val="0"/>
              <w:spacing w:after="0" w:line="240" w:lineRule="exact"/>
              <w:jc w:val="center"/>
              <w:textAlignment w:val="auto"/>
              <w:rPr>
                <w:rFonts w:hint="eastAsia" w:asciiTheme="minorEastAsia" w:hAnsiTheme="minorEastAsia" w:eastAsiaTheme="minorEastAsia" w:cstheme="minorEastAsia"/>
                <w:color w:val="535353"/>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65</w:t>
            </w:r>
          </w:p>
        </w:tc>
        <w:tc>
          <w:tcPr>
            <w:tcW w:w="1514"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拆除灰镜</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7.39</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拆除舞台</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墙面原有腻子及乳胶漆铲除</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165.8</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墙面原有腻子及乳胶漆修补</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165.8</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自流平找平</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两遍腻子及乳胶漆</w:t>
            </w: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210</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PVC</w:t>
            </w:r>
            <w:r>
              <w:rPr>
                <w:rFonts w:hint="eastAsia" w:asciiTheme="minorEastAsia" w:hAnsiTheme="minorEastAsia" w:eastAsiaTheme="minorEastAsia" w:cstheme="minorEastAsia"/>
                <w:color w:val="000000"/>
                <w:sz w:val="21"/>
                <w:szCs w:val="21"/>
              </w:rPr>
              <w:t>地板胶铺贴</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地板胶5mm厚</w:t>
            </w: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210</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不锈钢踢脚线安装</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木基层，不锈钢制作安装</w:t>
            </w: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62</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银镜安装</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墙面银镜制作安装，安装高度2.4m</w:t>
            </w: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27.67</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银镜周边不锈钢包边</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22</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栏杆安装</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36.12</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鞋柜</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18mm生态板现场制作</w:t>
            </w:r>
          </w:p>
        </w:tc>
        <w:tc>
          <w:tcPr>
            <w:tcW w:w="1186"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其他</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材料</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建渣</w:t>
            </w:r>
            <w:r>
              <w:rPr>
                <w:rFonts w:hint="eastAsia" w:asciiTheme="minorEastAsia" w:hAnsiTheme="minorEastAsia" w:eastAsiaTheme="minorEastAsia" w:cstheme="minorEastAsia"/>
                <w:color w:val="000000"/>
                <w:sz w:val="21"/>
                <w:szCs w:val="21"/>
              </w:rPr>
              <w:t>转运</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卫生保洁</w:t>
            </w:r>
          </w:p>
        </w:tc>
        <w:tc>
          <w:tcPr>
            <w:tcW w:w="1186"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513" w:type="dxa"/>
            <w:gridSpan w:val="8"/>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ascii="仿宋_GB2312" w:hAnsi="仿宋_GB2312" w:eastAsia="仿宋_GB2312" w:cs="仿宋_GB2312"/>
                <w:sz w:val="21"/>
                <w:szCs w:val="21"/>
              </w:rPr>
            </w:pPr>
            <w:r>
              <w:rPr>
                <w:rFonts w:hint="eastAsia" w:cs="仿宋_GB2312" w:asciiTheme="minorEastAsia" w:hAnsiTheme="minorEastAsia"/>
                <w:sz w:val="21"/>
                <w:szCs w:val="21"/>
              </w:rPr>
              <w:t xml:space="preserve">合计（含税）：大写人民币 </w:t>
            </w:r>
            <w:r>
              <w:rPr>
                <w:rFonts w:cs="仿宋_GB2312" w:asciiTheme="minorEastAsia" w:hAnsiTheme="minorEastAsia"/>
                <w:sz w:val="21"/>
                <w:szCs w:val="21"/>
              </w:rPr>
              <w:t xml:space="preserve">             </w:t>
            </w:r>
            <w:r>
              <w:rPr>
                <w:rFonts w:hint="eastAsia" w:cs="仿宋_GB2312" w:asciiTheme="minorEastAsia" w:hAnsiTheme="minorEastAsia"/>
                <w:sz w:val="21"/>
                <w:szCs w:val="21"/>
              </w:rPr>
              <w:t>小写￥</w:t>
            </w:r>
          </w:p>
        </w:tc>
      </w:tr>
    </w:tbl>
    <w:p>
      <w:pPr>
        <w:spacing w:after="0" w:line="240" w:lineRule="auto"/>
        <w:rPr>
          <w:rFonts w:ascii="仿宋" w:hAnsi="仿宋" w:eastAsia="仿宋" w:cs="宋体"/>
          <w:color w:val="000000"/>
          <w:sz w:val="24"/>
          <w:szCs w:val="24"/>
        </w:rPr>
      </w:pPr>
      <w:r>
        <w:rPr>
          <w:rFonts w:hint="eastAsia" w:ascii="仿宋" w:hAnsi="仿宋" w:eastAsia="仿宋" w:cs="宋体"/>
          <w:color w:val="000000"/>
          <w:sz w:val="24"/>
          <w:szCs w:val="24"/>
        </w:rPr>
        <w:t>说明：1、此报价表采用</w:t>
      </w:r>
      <w:bookmarkStart w:id="10" w:name="_Hlk44416240"/>
      <w:r>
        <w:rPr>
          <w:rFonts w:hint="eastAsia" w:ascii="仿宋" w:hAnsi="仿宋" w:eastAsia="仿宋" w:cs="宋体"/>
          <w:color w:val="000000"/>
          <w:sz w:val="24"/>
          <w:szCs w:val="24"/>
        </w:rPr>
        <w:t>全费用包干总价</w:t>
      </w:r>
      <w:bookmarkEnd w:id="10"/>
      <w:r>
        <w:rPr>
          <w:rFonts w:hint="eastAsia" w:ascii="仿宋" w:hAnsi="仿宋" w:eastAsia="仿宋" w:cs="宋体"/>
          <w:color w:val="000000"/>
          <w:sz w:val="24"/>
          <w:szCs w:val="24"/>
        </w:rPr>
        <w:t>进行结算。</w:t>
      </w:r>
    </w:p>
    <w:p>
      <w:pPr>
        <w:spacing w:after="0" w:line="240" w:lineRule="auto"/>
        <w:ind w:left="708" w:leftChars="322"/>
        <w:rPr>
          <w:rFonts w:ascii="仿宋" w:hAnsi="仿宋" w:eastAsia="仿宋" w:cs="宋体"/>
          <w:color w:val="000000"/>
          <w:sz w:val="24"/>
          <w:szCs w:val="24"/>
        </w:rPr>
      </w:pPr>
      <w:r>
        <w:rPr>
          <w:rFonts w:hint="eastAsia" w:ascii="仿宋" w:hAnsi="仿宋" w:eastAsia="仿宋" w:cs="宋体"/>
          <w:color w:val="000000"/>
          <w:sz w:val="24"/>
          <w:szCs w:val="24"/>
        </w:rPr>
        <w:t>2、全费用包干总价包含但不限于以下内容：为完成合同内容的所有人工费、材料费、机械费、管理费、利润、安全文明费、临时设施费、脚手架搭拆、已完工程成品保护、夜间施工费、赶工费、高温补贴、冬雨季施工费、打扫卫生、垃圾清理、二次搬运、税金等费用，后期不再因任何的原因进行调整。</w:t>
      </w:r>
    </w:p>
    <w:p>
      <w:pPr>
        <w:pStyle w:val="17"/>
        <w:spacing w:line="500" w:lineRule="exact"/>
        <w:ind w:firstLine="560" w:firstLineChars="200"/>
        <w:rPr>
          <w:rFonts w:ascii="仿宋" w:hAnsi="仿宋" w:eastAsia="仿宋"/>
          <w:color w:val="000000"/>
          <w:sz w:val="28"/>
        </w:rPr>
      </w:pPr>
    </w:p>
    <w:p>
      <w:pPr>
        <w:snapToGrid w:val="0"/>
        <w:spacing w:after="0" w:line="360" w:lineRule="auto"/>
        <w:rPr>
          <w:rFonts w:ascii="仿宋" w:hAnsi="仿宋" w:eastAsia="仿宋" w:cs="仿宋"/>
          <w:color w:val="000000" w:themeColor="text1"/>
          <w:sz w:val="28"/>
          <w:szCs w:val="28"/>
          <w14:textFill>
            <w14:solidFill>
              <w14:schemeClr w14:val="tx1"/>
            </w14:solidFill>
          </w14:textFill>
        </w:rPr>
        <w:sectPr>
          <w:headerReference r:id="rId8" w:type="first"/>
          <w:headerReference r:id="rId7" w:type="default"/>
          <w:pgSz w:w="16840" w:h="11907" w:orient="landscape"/>
          <w:pgMar w:top="1134" w:right="2286" w:bottom="1418" w:left="1134" w:header="567" w:footer="284" w:gutter="0"/>
          <w:cols w:space="425" w:num="1"/>
          <w:titlePg/>
          <w:docGrid w:type="lines" w:linePitch="312" w:charSpace="0"/>
        </w:sectPr>
      </w:pPr>
    </w:p>
    <w:p>
      <w:r>
        <w:drawing>
          <wp:inline distT="0" distB="0" distL="0" distR="0">
            <wp:extent cx="5941060" cy="1324610"/>
            <wp:effectExtent l="0" t="0" r="254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pPr>
        <w:spacing w:line="720" w:lineRule="auto"/>
        <w:jc w:val="center"/>
        <w:rPr>
          <w:rFonts w:ascii="仿宋" w:hAnsi="仿宋" w:eastAsia="仿宋"/>
          <w:b/>
          <w:color w:val="000000" w:themeColor="text1"/>
          <w:sz w:val="52"/>
          <w:szCs w:val="52"/>
          <w14:textFill>
            <w14:solidFill>
              <w14:schemeClr w14:val="tx1"/>
            </w14:solidFill>
          </w14:textFill>
        </w:rPr>
      </w:pPr>
    </w:p>
    <w:p>
      <w:pPr>
        <w:spacing w:line="1000" w:lineRule="exact"/>
        <w:jc w:val="center"/>
        <w:rPr>
          <w:rFonts w:ascii="仿宋" w:hAnsi="仿宋" w:eastAsia="仿宋"/>
          <w:b/>
          <w:color w:val="000000" w:themeColor="text1"/>
          <w:sz w:val="44"/>
          <w:szCs w:val="44"/>
          <w14:textFill>
            <w14:solidFill>
              <w14:schemeClr w14:val="tx1"/>
            </w14:solidFill>
          </w14:textFill>
        </w:rPr>
      </w:pPr>
    </w:p>
    <w:p>
      <w:pPr>
        <w:spacing w:line="1000" w:lineRule="exact"/>
        <w:jc w:val="center"/>
        <w:rPr>
          <w:rFonts w:hint="eastAsia" w:ascii="仿宋" w:hAnsi="仿宋" w:eastAsia="仿宋"/>
          <w:b/>
          <w:color w:val="000000" w:themeColor="text1"/>
          <w:sz w:val="52"/>
          <w:szCs w:val="52"/>
          <w:lang w:eastAsia="zh-CN"/>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关于舞蹈实验室建设项目</w:t>
      </w:r>
      <w:r>
        <w:rPr>
          <w:rFonts w:hint="eastAsia" w:ascii="仿宋" w:hAnsi="仿宋" w:eastAsia="仿宋"/>
          <w:b/>
          <w:color w:val="000000" w:themeColor="text1"/>
          <w:sz w:val="52"/>
          <w:szCs w:val="52"/>
          <w:lang w:eastAsia="zh-CN"/>
          <w14:textFill>
            <w14:solidFill>
              <w14:schemeClr w14:val="tx1"/>
            </w14:solidFill>
          </w14:textFill>
        </w:rPr>
        <w:t>（</w:t>
      </w:r>
      <w:r>
        <w:rPr>
          <w:rFonts w:hint="eastAsia" w:ascii="仿宋" w:hAnsi="仿宋" w:eastAsia="仿宋"/>
          <w:b/>
          <w:color w:val="000000" w:themeColor="text1"/>
          <w:sz w:val="52"/>
          <w:szCs w:val="52"/>
          <w:lang w:val="en-US" w:eastAsia="zh-CN"/>
          <w14:textFill>
            <w14:solidFill>
              <w14:schemeClr w14:val="tx1"/>
            </w14:solidFill>
          </w14:textFill>
        </w:rPr>
        <w:t>二次</w:t>
      </w:r>
      <w:bookmarkStart w:id="286" w:name="_GoBack"/>
      <w:bookmarkEnd w:id="286"/>
      <w:r>
        <w:rPr>
          <w:rFonts w:hint="eastAsia" w:ascii="仿宋" w:hAnsi="仿宋" w:eastAsia="仿宋"/>
          <w:b/>
          <w:color w:val="000000" w:themeColor="text1"/>
          <w:sz w:val="52"/>
          <w:szCs w:val="52"/>
          <w:lang w:eastAsia="zh-CN"/>
          <w14:textFill>
            <w14:solidFill>
              <w14:schemeClr w14:val="tx1"/>
            </w14:solidFill>
          </w14:textFill>
        </w:rPr>
        <w:t>）</w:t>
      </w:r>
    </w:p>
    <w:p>
      <w:pPr>
        <w:spacing w:line="580" w:lineRule="exact"/>
        <w:jc w:val="center"/>
        <w:rPr>
          <w:rFonts w:ascii="仿宋" w:hAnsi="仿宋" w:eastAsia="仿宋"/>
          <w:b/>
          <w:color w:val="000000" w:themeColor="text1"/>
          <w:sz w:val="52"/>
          <w:szCs w:val="52"/>
          <w14:textFill>
            <w14:solidFill>
              <w14:schemeClr w14:val="tx1"/>
            </w14:solidFill>
          </w14:textFill>
        </w:rPr>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rPr>
          <w:rFonts w:ascii="仿宋" w:hAnsi="仿宋" w:eastAsia="仿宋"/>
          <w:b/>
          <w:bCs/>
          <w:color w:val="000000" w:themeColor="text1"/>
          <w:sz w:val="30"/>
          <w:szCs w:val="30"/>
          <w14:textFill>
            <w14:solidFill>
              <w14:schemeClr w14:val="tx1"/>
            </w14:solidFill>
          </w14:textFill>
        </w:rPr>
        <w:sectPr>
          <w:headerReference r:id="rId9" w:type="first"/>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000000" w:themeColor="text1"/>
          <w:sz w:val="28"/>
          <w:szCs w:val="28"/>
          <w14:textFill>
            <w14:solidFill>
              <w14:schemeClr w14:val="tx1"/>
            </w14:solidFill>
          </w14:textFill>
        </w:rPr>
      </w:pPr>
      <w:bookmarkStart w:id="11" w:name="_Toc217891402"/>
      <w:bookmarkStart w:id="12" w:name="_Toc213755939"/>
      <w:bookmarkStart w:id="13" w:name="_Toc160880160"/>
      <w:bookmarkStart w:id="14" w:name="_Toc192996446"/>
      <w:bookmarkStart w:id="15" w:name="_Toc182805217"/>
      <w:bookmarkStart w:id="16" w:name="_Toc213208766"/>
      <w:bookmarkStart w:id="17" w:name="_Toc255975007"/>
      <w:bookmarkStart w:id="18" w:name="_Toc266870432"/>
      <w:bookmarkStart w:id="19" w:name="_Toc230071147"/>
      <w:bookmarkStart w:id="20" w:name="_Toc259692647"/>
      <w:bookmarkStart w:id="21" w:name="_Toc267060068"/>
      <w:bookmarkStart w:id="22" w:name="_Toc236021449"/>
      <w:bookmarkStart w:id="23" w:name="_Toc259520865"/>
      <w:bookmarkStart w:id="24" w:name="_Toc249325711"/>
      <w:bookmarkStart w:id="25" w:name="_Toc191783222"/>
      <w:bookmarkStart w:id="26" w:name="_Toc192664153"/>
      <w:bookmarkStart w:id="27" w:name="_Toc193160448"/>
      <w:bookmarkStart w:id="28" w:name="_Toc267059030"/>
      <w:bookmarkStart w:id="29" w:name="_Toc181436461"/>
      <w:bookmarkStart w:id="30" w:name="_Toc180302913"/>
      <w:bookmarkStart w:id="31" w:name="_Toc266868670"/>
      <w:bookmarkStart w:id="32" w:name="_Toc235437991"/>
      <w:bookmarkStart w:id="33" w:name="_Toc266870907"/>
      <w:bookmarkStart w:id="34" w:name="_Toc253066614"/>
      <w:bookmarkStart w:id="35" w:name="_Toc251586231"/>
      <w:bookmarkStart w:id="36" w:name="_Toc232302115"/>
      <w:bookmarkStart w:id="37" w:name="_Toc213755858"/>
      <w:bookmarkStart w:id="38" w:name="_Toc213756051"/>
      <w:bookmarkStart w:id="39" w:name="_Toc251613829"/>
      <w:bookmarkStart w:id="40" w:name="_Toc225669322"/>
      <w:bookmarkStart w:id="41" w:name="_Toc177985469"/>
      <w:bookmarkStart w:id="42" w:name="_Toc267059806"/>
      <w:bookmarkStart w:id="43" w:name="_Toc203355733"/>
      <w:bookmarkStart w:id="44" w:name="_Toc192996338"/>
      <w:bookmarkStart w:id="45" w:name="_Toc267059919"/>
      <w:bookmarkStart w:id="46" w:name="_Toc169332949"/>
      <w:bookmarkStart w:id="47" w:name="_Toc181436565"/>
      <w:bookmarkStart w:id="48" w:name="_Toc267059653"/>
      <w:bookmarkStart w:id="49" w:name="_Toc273178698"/>
      <w:bookmarkStart w:id="50" w:name="_Toc254790899"/>
      <w:bookmarkStart w:id="51" w:name="_Toc170798793"/>
      <w:bookmarkStart w:id="52" w:name="_Toc235438274"/>
      <w:bookmarkStart w:id="53" w:name="_Toc192663835"/>
      <w:bookmarkStart w:id="54" w:name="_Toc191802690"/>
      <w:bookmarkStart w:id="55" w:name="_Toc213755995"/>
      <w:bookmarkStart w:id="56" w:name="_Toc227058530"/>
      <w:bookmarkStart w:id="57" w:name="_Toc266868937"/>
      <w:bookmarkStart w:id="58" w:name="_Toc191803626"/>
      <w:bookmarkStart w:id="59" w:name="_Toc267059181"/>
      <w:bookmarkStart w:id="60" w:name="_Toc267059539"/>
      <w:bookmarkStart w:id="61" w:name="_Toc267060321"/>
      <w:bookmarkStart w:id="62" w:name="_Toc267060208"/>
      <w:bookmarkStart w:id="63" w:name="_Toc235438344"/>
      <w:bookmarkStart w:id="64" w:name="_Toc182372782"/>
      <w:bookmarkStart w:id="65" w:name="_Toc266870833"/>
      <w:bookmarkStart w:id="66" w:name="_Toc219800243"/>
      <w:bookmarkStart w:id="67" w:name="_Toc259692740"/>
      <w:bookmarkStart w:id="68" w:name="_Toc191789329"/>
      <w:bookmarkStart w:id="69" w:name="_Toc160880529"/>
      <w:bookmarkStart w:id="70" w:name="_Toc169332838"/>
      <w:bookmarkStart w:id="71" w:name="_Toc258401256"/>
      <w:bookmarkStart w:id="72" w:name="_Toc223146608"/>
      <w:bookmarkStart w:id="73" w:name="_Toc267060453"/>
      <w:bookmarkStart w:id="74" w:name="_Toc193165734"/>
      <w:bookmarkStart w:id="75" w:name="_Toc211917116"/>
      <w:bookmarkStart w:id="76" w:name="_Toc192663686"/>
      <w:r>
        <w:rPr>
          <w:rFonts w:hint="eastAsia" w:ascii="仿宋" w:hAnsi="仿宋" w:eastAsia="仿宋"/>
          <w:b/>
          <w:bCs/>
          <w:color w:val="000000" w:themeColor="text1"/>
          <w:sz w:val="28"/>
          <w:szCs w:val="28"/>
          <w14:textFill>
            <w14:solidFill>
              <w14:schemeClr w14:val="tx1"/>
            </w14:solidFill>
          </w14:textFill>
        </w:rPr>
        <w:t>1、</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Start w:id="77" w:name="_Hlk47536799"/>
      <w:r>
        <w:rPr>
          <w:rFonts w:hint="eastAsia" w:ascii="仿宋" w:hAnsi="仿宋" w:eastAsia="仿宋"/>
          <w:b/>
          <w:bCs/>
          <w:color w:val="000000" w:themeColor="text1"/>
          <w:sz w:val="28"/>
          <w:szCs w:val="28"/>
          <w14:textFill>
            <w14:solidFill>
              <w14:schemeClr w14:val="tx1"/>
            </w14:solidFill>
          </w14:textFill>
        </w:rPr>
        <w:t>询价响应函</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致：重庆外语外事学院</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根据贵方渝北校区关于多媒体教室设备升级改造项目的公开询价邀请（编号）:</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本签字代表</w:t>
      </w:r>
      <w:r>
        <w:rPr>
          <w:rFonts w:hint="eastAsia" w:ascii="仿宋" w:hAnsi="仿宋" w:eastAsia="仿宋"/>
          <w:color w:val="000000" w:themeColor="text1"/>
          <w:sz w:val="28"/>
          <w:szCs w:val="28"/>
          <w:u w:val="single"/>
          <w14:textFill>
            <w14:solidFill>
              <w14:schemeClr w14:val="tx1"/>
            </w14:solidFill>
          </w14:textFill>
        </w:rPr>
        <w:t>（全名、职务）</w:t>
      </w:r>
      <w:r>
        <w:rPr>
          <w:rFonts w:hint="eastAsia" w:ascii="仿宋" w:hAnsi="仿宋" w:eastAsia="仿宋"/>
          <w:color w:val="000000" w:themeColor="text1"/>
          <w:sz w:val="28"/>
          <w:szCs w:val="28"/>
          <w14:textFill>
            <w14:solidFill>
              <w14:schemeClr w14:val="tx1"/>
            </w14:solidFill>
          </w14:textFill>
        </w:rPr>
        <w:t>正式授权并代表我方</w:t>
      </w:r>
      <w:r>
        <w:rPr>
          <w:rFonts w:hint="eastAsia" w:ascii="仿宋" w:hAnsi="仿宋" w:eastAsia="仿宋"/>
          <w:color w:val="000000" w:themeColor="text1"/>
          <w:sz w:val="28"/>
          <w:szCs w:val="28"/>
          <w:u w:val="single"/>
          <w14:textFill>
            <w14:solidFill>
              <w14:schemeClr w14:val="tx1"/>
            </w14:solidFill>
          </w14:textFill>
        </w:rPr>
        <w:t>（参与人公司名称、地址）</w:t>
      </w:r>
      <w:r>
        <w:rPr>
          <w:rFonts w:hint="eastAsia" w:ascii="仿宋" w:hAnsi="仿宋" w:eastAsia="仿宋"/>
          <w:color w:val="000000" w:themeColor="text1"/>
          <w:sz w:val="28"/>
          <w:szCs w:val="28"/>
          <w14:textFill>
            <w14:solidFill>
              <w14:schemeClr w14:val="tx1"/>
            </w14:solidFill>
          </w14:textFill>
        </w:rPr>
        <w:t>提交下述文件正本1份和副本1份。</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 分项报价表</w:t>
      </w:r>
    </w:p>
    <w:p>
      <w:pPr>
        <w:spacing w:after="0" w:line="480" w:lineRule="exact"/>
        <w:ind w:firstLine="565" w:firstLineChars="20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 参与人资格证明文件</w:t>
      </w:r>
    </w:p>
    <w:p>
      <w:pPr>
        <w:spacing w:after="0" w:line="48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 质保和后期服务承诺书</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据此函，签字代表宣布同意如下：</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1.所附详细报价表中规定的应提供和交付的货物及服务报价总价（国内现场交货价）为人民币</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，即</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（中文表述）</w:t>
      </w:r>
      <w:r>
        <w:rPr>
          <w:rFonts w:hint="eastAsia" w:ascii="仿宋" w:hAnsi="仿宋" w:eastAsia="仿宋"/>
          <w:color w:val="000000" w:themeColor="text1"/>
          <w:sz w:val="28"/>
          <w:szCs w:val="28"/>
          <w14:textFill>
            <w14:solidFill>
              <w14:schemeClr w14:val="tx1"/>
            </w14:solidFill>
          </w14:textFill>
        </w:rPr>
        <w:t>。</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4.参与人将按公开询价文件的规定履行合同责任和义务。</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.与本此公开询价有关的一切正式往来通讯请寄：</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地址：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邮编：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电话：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传真：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参与人授权代表签字： </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参与人（公司全称并加盖公章）：</w:t>
      </w:r>
    </w:p>
    <w:p>
      <w:pPr>
        <w:pStyle w:val="63"/>
        <w:spacing w:line="480" w:lineRule="exact"/>
        <w:jc w:val="left"/>
        <w:outlineLvl w:val="9"/>
        <w:rPr>
          <w:rFonts w:ascii="仿宋" w:hAnsi="仿宋" w:eastAsia="仿宋"/>
          <w:color w:val="000000" w:themeColor="text1"/>
          <w:szCs w:val="28"/>
          <w14:textFill>
            <w14:solidFill>
              <w14:schemeClr w14:val="tx1"/>
            </w14:solidFill>
          </w14:textFill>
        </w:rPr>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Cs w:val="28"/>
          <w14:textFill>
            <w14:solidFill>
              <w14:schemeClr w14:val="tx1"/>
            </w14:solidFill>
          </w14:textFill>
        </w:rPr>
        <w:t xml:space="preserve">      日  期： 年 月 日</w:t>
      </w:r>
      <w:bookmarkEnd w:id="77"/>
    </w:p>
    <w:p>
      <w:pPr>
        <w:jc w:val="center"/>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、货物报价一览表</w:t>
      </w:r>
    </w:p>
    <w:p>
      <w:pPr>
        <w:spacing w:line="380" w:lineRule="exact"/>
        <w:ind w:left="147" w:leftChars="67"/>
        <w:rPr>
          <w:rFonts w:ascii="仿宋" w:hAnsi="仿宋" w:eastAsia="仿宋"/>
          <w:sz w:val="28"/>
          <w:szCs w:val="28"/>
        </w:rPr>
      </w:pPr>
      <w:bookmarkStart w:id="78" w:name="_Toc266868943"/>
      <w:bookmarkStart w:id="79" w:name="_Toc223146614"/>
      <w:bookmarkStart w:id="80" w:name="_Toc267059035"/>
      <w:bookmarkStart w:id="81" w:name="_Toc225669328"/>
      <w:bookmarkStart w:id="82" w:name="_Toc160880534"/>
      <w:bookmarkStart w:id="83" w:name="_Toc259520874"/>
      <w:bookmarkStart w:id="84" w:name="_Toc192996343"/>
      <w:bookmarkStart w:id="85" w:name="_Toc169332843"/>
      <w:bookmarkStart w:id="86" w:name="_Toc267060326"/>
      <w:bookmarkStart w:id="87" w:name="_Toc213208771"/>
      <w:bookmarkStart w:id="88" w:name="_Toc191783227"/>
      <w:bookmarkStart w:id="89" w:name="_Toc267060461"/>
      <w:bookmarkStart w:id="90" w:name="_Toc181436466"/>
      <w:bookmarkStart w:id="91" w:name="_Toc232302122"/>
      <w:bookmarkStart w:id="92" w:name="_Toc249325720"/>
      <w:bookmarkStart w:id="93" w:name="_Toc193160453"/>
      <w:bookmarkStart w:id="94" w:name="_Toc192663691"/>
      <w:bookmarkStart w:id="95" w:name="_Toc235438281"/>
      <w:bookmarkStart w:id="96" w:name="_Toc180302918"/>
      <w:bookmarkStart w:id="97" w:name="_Toc253066624"/>
      <w:bookmarkStart w:id="98" w:name="_Toc266868679"/>
      <w:bookmarkStart w:id="99" w:name="_Toc192996451"/>
      <w:bookmarkStart w:id="100" w:name="_Toc213756001"/>
      <w:bookmarkStart w:id="101" w:name="_Toc267059924"/>
      <w:bookmarkStart w:id="102" w:name="_Toc219800249"/>
      <w:bookmarkStart w:id="103" w:name="_Toc211917121"/>
      <w:bookmarkStart w:id="104" w:name="_Toc192664158"/>
      <w:bookmarkStart w:id="105" w:name="_Toc251586241"/>
      <w:bookmarkStart w:id="106" w:name="_Toc254790909"/>
      <w:bookmarkStart w:id="107" w:name="_Toc169332954"/>
      <w:bookmarkStart w:id="108" w:name="_Toc259692656"/>
      <w:bookmarkStart w:id="109" w:name="_Toc227058536"/>
      <w:bookmarkStart w:id="110" w:name="_Toc193165739"/>
      <w:bookmarkStart w:id="111" w:name="_Toc235437998"/>
      <w:bookmarkStart w:id="112" w:name="_Toc230071153"/>
      <w:bookmarkStart w:id="113" w:name="_Toc258401265"/>
      <w:bookmarkStart w:id="114" w:name="_Toc266870839"/>
      <w:bookmarkStart w:id="115" w:name="_Toc182372787"/>
      <w:bookmarkStart w:id="116" w:name="_Toc191789334"/>
      <w:bookmarkStart w:id="117" w:name="_Toc170798798"/>
      <w:bookmarkStart w:id="118" w:name="_Toc266870916"/>
      <w:bookmarkStart w:id="119" w:name="_Toc267059811"/>
      <w:bookmarkStart w:id="120" w:name="_Toc191803631"/>
      <w:bookmarkStart w:id="121" w:name="_Toc267060076"/>
      <w:bookmarkStart w:id="122" w:name="_Toc273178703"/>
      <w:bookmarkStart w:id="123" w:name="_Toc267060216"/>
      <w:bookmarkStart w:id="124" w:name="_Toc267059186"/>
      <w:bookmarkStart w:id="125" w:name="_Toc235438352"/>
      <w:bookmarkStart w:id="126" w:name="_Toc267059658"/>
      <w:bookmarkStart w:id="127" w:name="_Toc177985474"/>
      <w:bookmarkStart w:id="128" w:name="_Toc181436570"/>
      <w:bookmarkStart w:id="129" w:name="_Toc213756057"/>
      <w:bookmarkStart w:id="130" w:name="_Toc255975016"/>
      <w:bookmarkStart w:id="131" w:name="_Toc192663840"/>
      <w:bookmarkStart w:id="132" w:name="_Toc251613839"/>
      <w:bookmarkStart w:id="133" w:name="_Toc182805222"/>
      <w:bookmarkStart w:id="134" w:name="_Toc217891408"/>
      <w:bookmarkStart w:id="135" w:name="_Toc259692749"/>
      <w:bookmarkStart w:id="136" w:name="_Toc160880165"/>
      <w:bookmarkStart w:id="137" w:name="_Toc213755945"/>
      <w:bookmarkStart w:id="138" w:name="_Toc267059544"/>
      <w:bookmarkStart w:id="139" w:name="_Toc203355738"/>
      <w:bookmarkStart w:id="140" w:name="_Toc213755864"/>
      <w:bookmarkStart w:id="141" w:name="_Toc191802695"/>
      <w:bookmarkStart w:id="142" w:name="_Toc236021457"/>
      <w:bookmarkStart w:id="143" w:name="_Toc266870441"/>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磋商编号：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7"/>
        <w:tblW w:w="13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05"/>
        <w:gridCol w:w="3438"/>
        <w:gridCol w:w="1186"/>
        <w:gridCol w:w="1279"/>
        <w:gridCol w:w="1514"/>
        <w:gridCol w:w="1125"/>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280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技术指标</w:t>
            </w:r>
          </w:p>
        </w:tc>
        <w:tc>
          <w:tcPr>
            <w:tcW w:w="1186"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单位</w:t>
            </w:r>
          </w:p>
        </w:tc>
        <w:tc>
          <w:tcPr>
            <w:tcW w:w="127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工程量</w:t>
            </w:r>
          </w:p>
        </w:tc>
        <w:tc>
          <w:tcPr>
            <w:tcW w:w="1514"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综合</w:t>
            </w:r>
            <w:r>
              <w:rPr>
                <w:rFonts w:hint="eastAsia" w:asciiTheme="minorEastAsia" w:hAnsiTheme="minorEastAsia" w:eastAsiaTheme="minorEastAsia" w:cstheme="minorEastAsia"/>
                <w:b/>
                <w:bCs/>
                <w:sz w:val="21"/>
                <w:szCs w:val="21"/>
              </w:rPr>
              <w:t>单价（元）</w:t>
            </w: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合价</w:t>
            </w:r>
            <w:r>
              <w:rPr>
                <w:rFonts w:hint="eastAsia" w:asciiTheme="minorEastAsia" w:hAnsiTheme="minorEastAsia" w:eastAsiaTheme="minorEastAsia" w:cstheme="minorEastAsia"/>
                <w:b/>
                <w:bCs/>
                <w:sz w:val="21"/>
                <w:szCs w:val="21"/>
              </w:rPr>
              <w:t>（元）</w:t>
            </w: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拆除瓷砖踢脚线</w:t>
            </w:r>
          </w:p>
        </w:tc>
        <w:tc>
          <w:tcPr>
            <w:tcW w:w="3438" w:type="dxa"/>
            <w:vAlign w:val="center"/>
          </w:tcPr>
          <w:p>
            <w:pPr>
              <w:keepNext w:val="0"/>
              <w:keepLines w:val="0"/>
              <w:pageBreakBefore w:val="0"/>
              <w:widowControl/>
              <w:numPr>
                <w:ilvl w:val="255"/>
                <w:numId w:val="0"/>
              </w:numPr>
              <w:tabs>
                <w:tab w:val="left" w:pos="220"/>
                <w:tab w:val="left" w:pos="720"/>
              </w:tabs>
              <w:kinsoku/>
              <w:wordWrap/>
              <w:overflowPunct/>
              <w:topLinePunct w:val="0"/>
              <w:autoSpaceDE w:val="0"/>
              <w:autoSpaceDN w:val="0"/>
              <w:bidi w:val="0"/>
              <w:adjustRightInd w:val="0"/>
              <w:snapToGrid w:val="0"/>
              <w:spacing w:after="0" w:line="240" w:lineRule="exact"/>
              <w:jc w:val="center"/>
              <w:textAlignment w:val="auto"/>
              <w:rPr>
                <w:rFonts w:hint="eastAsia" w:asciiTheme="minorEastAsia" w:hAnsiTheme="minorEastAsia" w:eastAsiaTheme="minorEastAsia" w:cstheme="minorEastAsia"/>
                <w:color w:val="535353"/>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65</w:t>
            </w:r>
          </w:p>
        </w:tc>
        <w:tc>
          <w:tcPr>
            <w:tcW w:w="1514"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拆除灰镜</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7.39</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拆除舞台</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墙面原有腻子及乳胶漆铲除</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165.8</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墙面原有腻子及乳胶漆修补</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165.8</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自流平找平</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两遍腻子及乳胶漆</w:t>
            </w: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210</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PVC</w:t>
            </w:r>
            <w:r>
              <w:rPr>
                <w:rFonts w:hint="eastAsia" w:asciiTheme="minorEastAsia" w:hAnsiTheme="minorEastAsia" w:eastAsiaTheme="minorEastAsia" w:cstheme="minorEastAsia"/>
                <w:color w:val="000000"/>
                <w:sz w:val="21"/>
                <w:szCs w:val="21"/>
              </w:rPr>
              <w:t>地板胶铺贴</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地板胶5mm厚</w:t>
            </w: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210</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不锈钢踢脚线安装</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木基层，不锈钢制作安装</w:t>
            </w: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62</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银镜安装</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墙面银镜制作安装，安装高度2.4m</w:t>
            </w: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27.67</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银镜周边不锈钢包边</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22</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栏杆安装</w:t>
            </w:r>
          </w:p>
        </w:tc>
        <w:tc>
          <w:tcPr>
            <w:tcW w:w="3438"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86"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36.12</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鞋柜</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18mm生态板现场制作</w:t>
            </w:r>
          </w:p>
        </w:tc>
        <w:tc>
          <w:tcPr>
            <w:tcW w:w="1186"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7"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2805"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其他</w:t>
            </w:r>
          </w:p>
        </w:tc>
        <w:tc>
          <w:tcPr>
            <w:tcW w:w="3438" w:type="dxa"/>
            <w:vAlign w:val="center"/>
          </w:tcPr>
          <w:p>
            <w:pPr>
              <w:keepNext w:val="0"/>
              <w:keepLines w:val="0"/>
              <w:pageBreakBefore w:val="0"/>
              <w:widowControl/>
              <w:kinsoku/>
              <w:wordWrap/>
              <w:overflowPunct/>
              <w:topLinePunct w:val="0"/>
              <w:bidi w:val="0"/>
              <w:spacing w:after="0" w:line="2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材料</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建渣</w:t>
            </w:r>
            <w:r>
              <w:rPr>
                <w:rFonts w:hint="eastAsia" w:asciiTheme="minorEastAsia" w:hAnsiTheme="minorEastAsia" w:eastAsiaTheme="minorEastAsia" w:cstheme="minorEastAsia"/>
                <w:color w:val="000000"/>
                <w:sz w:val="21"/>
                <w:szCs w:val="21"/>
              </w:rPr>
              <w:t>转运</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卫生保洁</w:t>
            </w:r>
          </w:p>
        </w:tc>
        <w:tc>
          <w:tcPr>
            <w:tcW w:w="1186"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c>
          <w:tcPr>
            <w:tcW w:w="1279" w:type="dxa"/>
            <w:vAlign w:val="center"/>
          </w:tcPr>
          <w:p>
            <w:pPr>
              <w:keepNext w:val="0"/>
              <w:keepLines w:val="0"/>
              <w:pageBreakBefore w:val="0"/>
              <w:widowControl/>
              <w:kinsoku/>
              <w:wordWrap/>
              <w:overflowPunct/>
              <w:topLinePunct w:val="0"/>
              <w:autoSpaceDE/>
              <w:autoSpaceDN/>
              <w:bidi w:val="0"/>
              <w:adjustRightInd/>
              <w:snapToGrid w:val="0"/>
              <w:spacing w:after="0" w:line="24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514" w:type="dxa"/>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125"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c>
          <w:tcPr>
            <w:tcW w:w="1319" w:type="dxa"/>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513" w:type="dxa"/>
            <w:gridSpan w:val="8"/>
            <w:vAlign w:val="center"/>
          </w:tcPr>
          <w:p>
            <w:pPr>
              <w:keepNext w:val="0"/>
              <w:keepLines w:val="0"/>
              <w:pageBreakBefore w:val="0"/>
              <w:widowControl/>
              <w:kinsoku/>
              <w:wordWrap/>
              <w:overflowPunct/>
              <w:topLinePunct w:val="0"/>
              <w:bidi w:val="0"/>
              <w:snapToGrid w:val="0"/>
              <w:spacing w:after="0" w:line="240" w:lineRule="exact"/>
              <w:jc w:val="center"/>
              <w:textAlignment w:val="auto"/>
              <w:rPr>
                <w:rFonts w:ascii="仿宋_GB2312" w:hAnsi="仿宋_GB2312" w:eastAsia="仿宋_GB2312" w:cs="仿宋_GB2312"/>
                <w:sz w:val="21"/>
                <w:szCs w:val="21"/>
              </w:rPr>
            </w:pPr>
            <w:r>
              <w:rPr>
                <w:rFonts w:hint="eastAsia" w:cs="仿宋_GB2312" w:asciiTheme="minorEastAsia" w:hAnsiTheme="minorEastAsia"/>
                <w:sz w:val="21"/>
                <w:szCs w:val="21"/>
              </w:rPr>
              <w:t xml:space="preserve">合计（含税）：大写人民币 </w:t>
            </w:r>
            <w:r>
              <w:rPr>
                <w:rFonts w:cs="仿宋_GB2312" w:asciiTheme="minorEastAsia" w:hAnsiTheme="minorEastAsia"/>
                <w:sz w:val="21"/>
                <w:szCs w:val="21"/>
              </w:rPr>
              <w:t xml:space="preserve">             </w:t>
            </w:r>
            <w:r>
              <w:rPr>
                <w:rFonts w:hint="eastAsia" w:cs="仿宋_GB2312" w:asciiTheme="minorEastAsia" w:hAnsiTheme="minorEastAsia"/>
                <w:sz w:val="21"/>
                <w:szCs w:val="21"/>
              </w:rPr>
              <w:t>小写￥</w:t>
            </w:r>
          </w:p>
        </w:tc>
      </w:tr>
    </w:tbl>
    <w:p>
      <w:pPr>
        <w:keepNext w:val="0"/>
        <w:keepLines w:val="0"/>
        <w:pageBreakBefore w:val="0"/>
        <w:widowControl/>
        <w:kinsoku/>
        <w:wordWrap/>
        <w:overflowPunct/>
        <w:topLinePunct w:val="0"/>
        <w:autoSpaceDE/>
        <w:autoSpaceDN/>
        <w:bidi w:val="0"/>
        <w:adjustRightInd/>
        <w:snapToGrid/>
        <w:spacing w:after="0" w:line="320" w:lineRule="exact"/>
        <w:textAlignment w:val="auto"/>
        <w:rPr>
          <w:rFonts w:ascii="仿宋" w:hAnsi="仿宋" w:eastAsia="仿宋" w:cs="宋体"/>
          <w:color w:val="000000"/>
          <w:sz w:val="24"/>
          <w:szCs w:val="24"/>
        </w:rPr>
      </w:pPr>
      <w:r>
        <w:rPr>
          <w:rFonts w:hint="eastAsia" w:ascii="仿宋" w:hAnsi="仿宋" w:eastAsia="仿宋" w:cs="宋体"/>
          <w:color w:val="000000"/>
          <w:sz w:val="24"/>
          <w:szCs w:val="24"/>
        </w:rPr>
        <w:t>说明：1、此报价表采用全费用包干总价进行结算。</w:t>
      </w:r>
    </w:p>
    <w:p>
      <w:pPr>
        <w:keepNext w:val="0"/>
        <w:keepLines w:val="0"/>
        <w:pageBreakBefore w:val="0"/>
        <w:widowControl/>
        <w:kinsoku/>
        <w:wordWrap/>
        <w:overflowPunct/>
        <w:topLinePunct w:val="0"/>
        <w:autoSpaceDE/>
        <w:autoSpaceDN/>
        <w:bidi w:val="0"/>
        <w:adjustRightInd/>
        <w:snapToGrid/>
        <w:spacing w:after="0" w:line="320" w:lineRule="exact"/>
        <w:textAlignment w:val="auto"/>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s="宋体"/>
          <w:color w:val="000000"/>
          <w:sz w:val="24"/>
          <w:szCs w:val="24"/>
        </w:rPr>
        <w:t>2、全费用包干总价包含但不限于以下内容：为完成合同内容的所有人工费、材料费、机械费、管理费、利润、安全文明费、临时设施费、脚手架搭拆、已完工程成品保护、夜间施工费、赶工费、高温补贴、冬雨季施工费、打扫卫生、垃圾清理、二次搬运、税金等费用，后期不再因任何的原因进行调整。</w:t>
      </w:r>
    </w:p>
    <w:p>
      <w:pPr>
        <w:spacing w:after="0" w:line="380" w:lineRule="exact"/>
        <w:ind w:firstLine="5460" w:firstLineChars="1950"/>
        <w:jc w:val="left"/>
        <w:rPr>
          <w:rFonts w:ascii="仿宋" w:hAnsi="仿宋" w:eastAsia="仿宋"/>
          <w:sz w:val="28"/>
          <w:szCs w:val="28"/>
        </w:rPr>
      </w:pPr>
      <w:r>
        <w:rPr>
          <w:rFonts w:ascii="仿宋" w:hAnsi="仿宋" w:eastAsia="仿宋"/>
          <w:sz w:val="28"/>
          <w:szCs w:val="28"/>
          <w:lang w:val="zh-CN"/>
        </w:rPr>
        <w:t>参与人代表签字：</w:t>
      </w:r>
      <w:r>
        <w:rPr>
          <w:rFonts w:ascii="仿宋" w:hAnsi="仿宋" w:eastAsia="仿宋"/>
          <w:sz w:val="28"/>
          <w:szCs w:val="28"/>
          <w:u w:val="single"/>
        </w:rPr>
        <w:t xml:space="preserve">             </w:t>
      </w:r>
    </w:p>
    <w:p>
      <w:pPr>
        <w:spacing w:after="0" w:line="240" w:lineRule="auto"/>
        <w:jc w:val="left"/>
        <w:rPr>
          <w:rFonts w:ascii="仿宋" w:hAnsi="仿宋" w:eastAsia="仿宋"/>
          <w:b/>
          <w:bCs/>
          <w:color w:val="000000" w:themeColor="text1"/>
          <w:sz w:val="28"/>
          <w:szCs w:val="28"/>
          <w14:textFill>
            <w14:solidFill>
              <w14:schemeClr w14:val="tx1"/>
            </w14:solidFill>
          </w14:textFill>
        </w:rPr>
        <w:sectPr>
          <w:pgSz w:w="16838" w:h="11906" w:orient="landscape"/>
          <w:pgMar w:top="1134" w:right="1440" w:bottom="1417" w:left="1440" w:header="851" w:footer="992" w:gutter="0"/>
          <w:cols w:space="0" w:num="1"/>
          <w:titlePg/>
          <w:docGrid w:type="lines" w:linePitch="322" w:charSpace="0"/>
        </w:sectPr>
      </w:pPr>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、参与人的资格证明文件</w:t>
      </w:r>
    </w:p>
    <w:p>
      <w:pPr>
        <w:pStyle w:val="63"/>
        <w:rPr>
          <w:rFonts w:ascii="仿宋" w:hAnsi="仿宋" w:eastAsia="仿宋"/>
          <w:color w:val="000000" w:themeColor="text1"/>
          <w:szCs w:val="28"/>
          <w14:textFill>
            <w14:solidFill>
              <w14:schemeClr w14:val="tx1"/>
            </w14:solidFill>
          </w14:textFill>
        </w:rPr>
      </w:pP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bookmarkStart w:id="144" w:name="_Toc251586242"/>
      <w:bookmarkStart w:id="145" w:name="_Toc227058537"/>
      <w:bookmarkStart w:id="146" w:name="_Toc213756058"/>
      <w:bookmarkStart w:id="147" w:name="_Toc217891409"/>
      <w:bookmarkStart w:id="148" w:name="_Toc223146615"/>
      <w:bookmarkStart w:id="149" w:name="_Toc267060462"/>
      <w:bookmarkStart w:id="150" w:name="_Toc249325721"/>
      <w:bookmarkStart w:id="151" w:name="_Toc267060077"/>
      <w:bookmarkStart w:id="152" w:name="_Toc254790910"/>
      <w:bookmarkStart w:id="153" w:name="_Toc251613840"/>
      <w:bookmarkStart w:id="154" w:name="_Toc266868680"/>
      <w:bookmarkStart w:id="155" w:name="_Toc255975017"/>
      <w:bookmarkStart w:id="156" w:name="_Toc230071154"/>
      <w:bookmarkStart w:id="157" w:name="_Toc235438282"/>
      <w:bookmarkStart w:id="158" w:name="_Toc259520875"/>
      <w:bookmarkStart w:id="159" w:name="_Toc267060217"/>
      <w:bookmarkStart w:id="160" w:name="_Toc266870917"/>
      <w:bookmarkStart w:id="161" w:name="_Toc253066625"/>
      <w:bookmarkStart w:id="162" w:name="_Toc235438353"/>
      <w:bookmarkStart w:id="163" w:name="_Toc232302123"/>
      <w:bookmarkStart w:id="164" w:name="_Toc225669329"/>
      <w:bookmarkStart w:id="165" w:name="_Toc259692657"/>
      <w:bookmarkStart w:id="166" w:name="_Toc266870442"/>
      <w:bookmarkStart w:id="167" w:name="_Toc259692750"/>
      <w:bookmarkStart w:id="168" w:name="_Toc235437999"/>
      <w:bookmarkStart w:id="169" w:name="_Toc236021458"/>
      <w:bookmarkStart w:id="170" w:name="_Toc258401266"/>
      <w:bookmarkStart w:id="171" w:name="_Toc219800250"/>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-1关于资格的声明函</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hint="eastAsia" w:ascii="仿宋" w:hAnsi="仿宋" w:eastAsia="仿宋"/>
          <w:b/>
          <w:color w:val="000000" w:themeColor="text1"/>
          <w:sz w:val="28"/>
          <w:szCs w:val="28"/>
          <w14:textFill>
            <w14:solidFill>
              <w14:schemeClr w14:val="tx1"/>
            </w14:solidFill>
          </w14:textFill>
        </w:rPr>
        <w:cr/>
      </w:r>
    </w:p>
    <w:p>
      <w:pPr>
        <w:spacing w:after="0" w:line="500" w:lineRule="exact"/>
        <w:rPr>
          <w:rFonts w:ascii="仿宋" w:hAnsi="仿宋" w:eastAsia="仿宋"/>
          <w:color w:val="000000" w:themeColor="text1"/>
          <w:sz w:val="28"/>
          <w:szCs w:val="28"/>
          <w14:textFill>
            <w14:solidFill>
              <w14:schemeClr w14:val="tx1"/>
            </w14:solidFill>
          </w14:textFill>
        </w:rPr>
      </w:pPr>
      <w:bookmarkStart w:id="172" w:name="_Hlk511663739"/>
      <w:r>
        <w:rPr>
          <w:rFonts w:hint="eastAsia" w:ascii="仿宋" w:hAnsi="仿宋" w:eastAsia="仿宋"/>
          <w:color w:val="000000" w:themeColor="text1"/>
          <w:sz w:val="28"/>
          <w:szCs w:val="28"/>
          <w14:textFill>
            <w14:solidFill>
              <w14:schemeClr w14:val="tx1"/>
            </w14:solidFill>
          </w14:textFill>
        </w:rPr>
        <w:t>重庆外语外事学院：</w:t>
      </w:r>
      <w:bookmarkEnd w:id="172"/>
    </w:p>
    <w:p>
      <w:pPr>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关于贵方xxxx年xx月xx日 （）公开询价邀请，本签字人愿意参加本次报价，提供公开询价文件中规定的货物，并证明提交的下列文件和说明是准确的和真实的。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2．我方的资格声明正本1份，副本1份，随报价响应文件一同递交。</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     编：</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电话或传真：</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bookmarkStart w:id="173" w:name="_Toc251586243"/>
      <w:bookmarkStart w:id="174" w:name="_Toc230071155"/>
      <w:bookmarkStart w:id="175" w:name="_Toc258401267"/>
      <w:bookmarkStart w:id="176" w:name="_Toc255975018"/>
      <w:bookmarkStart w:id="177" w:name="_Toc253066626"/>
      <w:bookmarkStart w:id="178" w:name="_Toc235438354"/>
      <w:bookmarkStart w:id="179" w:name="_Toc266868681"/>
      <w:bookmarkStart w:id="180" w:name="_Toc227058538"/>
      <w:bookmarkStart w:id="181" w:name="_Toc259692658"/>
      <w:bookmarkStart w:id="182" w:name="_Toc259692751"/>
      <w:bookmarkStart w:id="183" w:name="_Toc225669330"/>
      <w:bookmarkStart w:id="184" w:name="_Toc219800251"/>
      <w:bookmarkStart w:id="185" w:name="_Toc251613841"/>
      <w:bookmarkStart w:id="186" w:name="_Toc235438283"/>
      <w:bookmarkStart w:id="187" w:name="_Toc254790911"/>
      <w:bookmarkStart w:id="188" w:name="_Toc232302124"/>
      <w:bookmarkStart w:id="189" w:name="_Toc223146616"/>
      <w:bookmarkStart w:id="190" w:name="_Toc213756059"/>
      <w:bookmarkStart w:id="191" w:name="_Toc235438000"/>
      <w:bookmarkStart w:id="192" w:name="_Toc217891410"/>
      <w:bookmarkStart w:id="193" w:name="_Toc249325722"/>
      <w:bookmarkStart w:id="194" w:name="_Toc266870443"/>
      <w:bookmarkStart w:id="195" w:name="_Toc266870918"/>
      <w:bookmarkStart w:id="196" w:name="_Toc259520876"/>
      <w:bookmarkStart w:id="197" w:name="_Toc236021459"/>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企业</w:t>
      </w:r>
      <w:r>
        <w:rPr>
          <w:rFonts w:hint="eastAsia" w:ascii="仿宋" w:hAnsi="仿宋" w:eastAsia="仿宋"/>
          <w:b/>
          <w:color w:val="000000" w:themeColor="text1"/>
          <w:sz w:val="28"/>
          <w:szCs w:val="28"/>
          <w14:textFill>
            <w14:solidFill>
              <w14:schemeClr w14:val="tx1"/>
            </w14:solidFill>
          </w14:textFill>
        </w:rPr>
        <w:t>法人营业执照（复印件并加盖公章）</w:t>
      </w:r>
    </w:p>
    <w:p>
      <w:pPr>
        <w:jc w:val="center"/>
        <w:outlineLvl w:val="1"/>
        <w:rPr>
          <w:rFonts w:ascii="仿宋" w:hAnsi="仿宋" w:eastAsia="仿宋"/>
          <w:b/>
          <w:color w:val="000000" w:themeColor="text1"/>
          <w:sz w:val="28"/>
          <w:szCs w:val="28"/>
          <w14:textFill>
            <w14:solidFill>
              <w14:schemeClr w14:val="tx1"/>
            </w14:solidFill>
          </w14:textFill>
        </w:rPr>
      </w:pPr>
    </w:p>
    <w:p>
      <w:p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重庆外语外事学院：</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现附上由（签发机关名称）签发的我方法人营业执照复印件，该执照业经年检，真实有效。</w:t>
      </w: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 与 人（全称并加盖公章）：</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参与人授权代表</w:t>
      </w:r>
      <w:r>
        <w:rPr>
          <w:rFonts w:hint="eastAsia" w:ascii="仿宋" w:hAnsi="仿宋" w:eastAsia="仿宋"/>
          <w:color w:val="000000" w:themeColor="text1"/>
          <w:sz w:val="28"/>
          <w:szCs w:val="28"/>
          <w14:textFill>
            <w14:solidFill>
              <w14:schemeClr w14:val="tx1"/>
            </w14:solidFill>
          </w14:textFill>
        </w:rPr>
        <w:t>：</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br w:type="page"/>
      </w:r>
      <w:bookmarkStart w:id="198" w:name="_Toc232302127"/>
      <w:bookmarkStart w:id="199" w:name="_Toc192663694"/>
      <w:bookmarkStart w:id="200" w:name="_Toc251613844"/>
      <w:bookmarkStart w:id="201" w:name="_Toc203355741"/>
      <w:bookmarkStart w:id="202" w:name="_Toc267060080"/>
      <w:bookmarkStart w:id="203" w:name="_Toc236021462"/>
      <w:bookmarkStart w:id="204" w:name="_Toc259692663"/>
      <w:bookmarkStart w:id="205" w:name="_Toc180302921"/>
      <w:bookmarkStart w:id="206" w:name="_Toc266868686"/>
      <w:bookmarkStart w:id="207" w:name="_Toc235438003"/>
      <w:bookmarkStart w:id="208" w:name="_Toc254790914"/>
      <w:bookmarkStart w:id="209" w:name="_Toc266870447"/>
      <w:bookmarkStart w:id="210" w:name="_Toc259520879"/>
      <w:bookmarkStart w:id="211" w:name="_Toc267060220"/>
      <w:bookmarkStart w:id="212" w:name="_Toc255975023"/>
      <w:bookmarkStart w:id="213" w:name="_Toc266870922"/>
      <w:bookmarkStart w:id="214" w:name="_Toc235438357"/>
      <w:bookmarkStart w:id="215" w:name="_Toc192996346"/>
      <w:bookmarkStart w:id="216" w:name="_Toc258401270"/>
      <w:bookmarkStart w:id="217" w:name="_Toc181436573"/>
      <w:bookmarkStart w:id="218" w:name="_Toc254790916"/>
      <w:bookmarkStart w:id="219" w:name="_Toc249325725"/>
      <w:bookmarkStart w:id="220" w:name="_Toc267060466"/>
      <w:bookmarkStart w:id="221" w:name="_Toc181436469"/>
      <w:bookmarkStart w:id="222" w:name="_Toc192996454"/>
      <w:bookmarkStart w:id="223" w:name="_Toc266868684"/>
      <w:bookmarkStart w:id="224" w:name="_Toc211917124"/>
      <w:bookmarkStart w:id="225" w:name="_Toc235438286"/>
      <w:bookmarkStart w:id="226" w:name="_Toc266870921"/>
      <w:bookmarkStart w:id="227" w:name="_Toc191789337"/>
      <w:bookmarkStart w:id="228" w:name="_Toc259692754"/>
      <w:bookmarkStart w:id="229" w:name="_Toc191803634"/>
      <w:bookmarkStart w:id="230" w:name="_Toc258401272"/>
      <w:bookmarkStart w:id="231" w:name="_Toc255975021"/>
      <w:bookmarkStart w:id="232" w:name="_Toc267060081"/>
      <w:bookmarkStart w:id="233" w:name="_Toc266870446"/>
      <w:bookmarkStart w:id="234" w:name="_Toc253066629"/>
      <w:bookmarkStart w:id="235" w:name="_Toc182372790"/>
      <w:bookmarkStart w:id="236" w:name="_Toc177985477"/>
      <w:bookmarkStart w:id="237" w:name="_Toc170798801"/>
      <w:bookmarkStart w:id="238" w:name="_Toc259692756"/>
      <w:bookmarkStart w:id="239" w:name="_Toc192664161"/>
      <w:bookmarkStart w:id="240" w:name="_Toc267060221"/>
      <w:bookmarkStart w:id="241" w:name="_Toc259520881"/>
      <w:bookmarkStart w:id="242" w:name="_Toc169332846"/>
      <w:bookmarkStart w:id="243" w:name="_Toc191802698"/>
      <w:bookmarkStart w:id="244" w:name="_Toc267060465"/>
      <w:bookmarkStart w:id="245" w:name="_Toc193160456"/>
      <w:bookmarkStart w:id="246" w:name="_Toc182805225"/>
      <w:bookmarkStart w:id="247" w:name="_Toc169332957"/>
      <w:bookmarkStart w:id="248" w:name="_Toc251586246"/>
      <w:bookmarkStart w:id="249" w:name="_Toc160880168"/>
      <w:bookmarkStart w:id="250" w:name="_Toc191783230"/>
      <w:bookmarkStart w:id="251" w:name="_Toc193165742"/>
      <w:bookmarkStart w:id="252" w:name="_Toc160880537"/>
      <w:bookmarkStart w:id="253" w:name="_Toc259692661"/>
      <w:bookmarkStart w:id="254" w:name="_Toc192663843"/>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Pr>
        <w:spacing w:after="0" w:line="480" w:lineRule="exact"/>
        <w:ind w:firstLine="570"/>
        <w:jc w:val="center"/>
        <w:rPr>
          <w:rFonts w:ascii="仿宋" w:hAnsi="仿宋" w:eastAsia="仿宋"/>
          <w:b/>
          <w:bCs/>
          <w:color w:val="000000" w:themeColor="text1"/>
          <w:sz w:val="28"/>
          <w:szCs w:val="28"/>
          <w14:textFill>
            <w14:solidFill>
              <w14:schemeClr w14:val="tx1"/>
            </w14:solidFill>
          </w14:textFill>
        </w:rPr>
      </w:pPr>
      <w:bookmarkStart w:id="255" w:name="_Toc267059925"/>
      <w:bookmarkStart w:id="256" w:name="_Toc235438004"/>
      <w:bookmarkStart w:id="257" w:name="_Toc267060082"/>
      <w:bookmarkStart w:id="258" w:name="_Toc267060467"/>
      <w:bookmarkStart w:id="259" w:name="_Toc235438287"/>
      <w:bookmarkStart w:id="260" w:name="_Toc266870840"/>
      <w:bookmarkStart w:id="261" w:name="_Toc232302128"/>
      <w:bookmarkStart w:id="262" w:name="_Toc267059187"/>
      <w:bookmarkStart w:id="263" w:name="_Toc266868944"/>
      <w:bookmarkStart w:id="264" w:name="_Toc267059545"/>
      <w:bookmarkStart w:id="265" w:name="_Toc236021463"/>
      <w:bookmarkStart w:id="266" w:name="_Toc267059659"/>
      <w:bookmarkStart w:id="267" w:name="_Toc253066630"/>
      <w:bookmarkStart w:id="268" w:name="_Toc235438358"/>
      <w:bookmarkStart w:id="269" w:name="_Toc266870448"/>
      <w:bookmarkStart w:id="270" w:name="_Toc258401273"/>
      <w:bookmarkStart w:id="271" w:name="_Toc255975024"/>
      <w:bookmarkStart w:id="272" w:name="_Toc259520882"/>
      <w:bookmarkStart w:id="273" w:name="_Toc267060327"/>
      <w:bookmarkStart w:id="274" w:name="_Toc259692757"/>
      <w:bookmarkStart w:id="275" w:name="_Toc266868687"/>
      <w:bookmarkStart w:id="276" w:name="_Toc251613845"/>
      <w:bookmarkStart w:id="277" w:name="_Toc251586247"/>
      <w:bookmarkStart w:id="278" w:name="_Toc267059036"/>
      <w:bookmarkStart w:id="279" w:name="_Toc259692664"/>
      <w:bookmarkStart w:id="280" w:name="_Toc267059812"/>
      <w:bookmarkStart w:id="281" w:name="_Toc249325726"/>
      <w:bookmarkStart w:id="282" w:name="_Toc254790917"/>
      <w:bookmarkStart w:id="283" w:name="_Toc267060222"/>
      <w:bookmarkStart w:id="284" w:name="_Toc273178704"/>
      <w:bookmarkStart w:id="285" w:name="_Toc266870923"/>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质保和后期服务承诺书</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rPr>
          <w:rFonts w:ascii="仿宋" w:hAnsi="仿宋" w:eastAsia="仿宋"/>
          <w:b/>
          <w:color w:val="000000" w:themeColor="text1"/>
          <w:sz w:val="28"/>
          <w:szCs w:val="28"/>
          <w14:textFill>
            <w14:solidFill>
              <w14:schemeClr w14:val="tx1"/>
            </w14:solidFill>
          </w14:textFill>
        </w:rPr>
      </w:pP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参与人根据公开询价文件中对售后服务的要求，结合自身实际情况进行承诺</w:t>
      </w:r>
      <w:r>
        <w:rPr>
          <w:rFonts w:ascii="仿宋" w:hAnsi="仿宋" w:eastAsia="仿宋"/>
          <w:color w:val="000000" w:themeColor="text1"/>
          <w:sz w:val="28"/>
          <w:szCs w:val="28"/>
          <w14:textFill>
            <w14:solidFill>
              <w14:schemeClr w14:val="tx1"/>
            </w14:solidFill>
          </w14:textFill>
        </w:rPr>
        <w:t>（含</w:t>
      </w:r>
      <w:r>
        <w:rPr>
          <w:rFonts w:hint="eastAsia" w:ascii="仿宋" w:hAnsi="仿宋" w:eastAsia="仿宋"/>
          <w:color w:val="000000" w:themeColor="text1"/>
          <w:sz w:val="28"/>
          <w:szCs w:val="28"/>
          <w14:textFill>
            <w14:solidFill>
              <w14:schemeClr w14:val="tx1"/>
            </w14:solidFill>
          </w14:textFill>
        </w:rPr>
        <w:t>产品质量</w:t>
      </w:r>
      <w:r>
        <w:rPr>
          <w:rFonts w:ascii="仿宋" w:hAnsi="仿宋" w:eastAsia="仿宋"/>
          <w:color w:val="000000" w:themeColor="text1"/>
          <w:sz w:val="28"/>
          <w:szCs w:val="28"/>
          <w14:textFill>
            <w14:solidFill>
              <w14:schemeClr w14:val="tx1"/>
            </w14:solidFill>
          </w14:textFill>
        </w:rPr>
        <w:t>保障体系等）、交货</w:t>
      </w:r>
      <w:r>
        <w:rPr>
          <w:rFonts w:hint="eastAsia" w:ascii="仿宋" w:hAnsi="仿宋" w:eastAsia="仿宋"/>
          <w:color w:val="000000" w:themeColor="text1"/>
          <w:sz w:val="28"/>
          <w:szCs w:val="28"/>
          <w14:textFill>
            <w14:solidFill>
              <w14:schemeClr w14:val="tx1"/>
            </w14:solidFill>
          </w14:textFill>
        </w:rPr>
        <w:t>周</w:t>
      </w:r>
      <w:r>
        <w:rPr>
          <w:rFonts w:ascii="仿宋" w:hAnsi="仿宋" w:eastAsia="仿宋"/>
          <w:color w:val="000000" w:themeColor="text1"/>
          <w:sz w:val="28"/>
          <w:szCs w:val="28"/>
          <w14:textFill>
            <w14:solidFill>
              <w14:schemeClr w14:val="tx1"/>
            </w14:solidFill>
          </w14:textFill>
        </w:rPr>
        <w:t>期承诺等</w:t>
      </w:r>
      <w:r>
        <w:rPr>
          <w:rFonts w:hint="eastAsia" w:ascii="仿宋" w:hAnsi="仿宋" w:eastAsia="仿宋"/>
          <w:color w:val="000000" w:themeColor="text1"/>
          <w:sz w:val="28"/>
          <w:szCs w:val="28"/>
          <w14:textFill>
            <w14:solidFill>
              <w14:schemeClr w14:val="tx1"/>
            </w14:solidFill>
          </w14:textFill>
        </w:rPr>
        <w:t>。</w:t>
      </w:r>
    </w:p>
    <w:p>
      <w:pPr>
        <w:spacing w:line="500" w:lineRule="exact"/>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承诺如下：</w:t>
      </w:r>
    </w:p>
    <w:p>
      <w:pPr>
        <w:spacing w:line="420" w:lineRule="exact"/>
        <w:ind w:firstLine="480"/>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 与 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p>
    <w:p>
      <w:pPr>
        <w:spacing w:line="380" w:lineRule="exact"/>
        <w:ind w:firstLine="5880" w:firstLineChars="2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p>
    <w:p>
      <w:pPr>
        <w:spacing w:line="420" w:lineRule="exact"/>
        <w:ind w:firstLine="6440" w:firstLineChars="2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pPr>
        <w:spacing w:line="380" w:lineRule="exact"/>
        <w:rPr>
          <w:rFonts w:ascii="仿宋" w:hAnsi="仿宋" w:eastAsia="仿宋"/>
          <w:color w:val="000000" w:themeColor="text1"/>
          <w:sz w:val="28"/>
          <w:szCs w:val="28"/>
          <w14:textFill>
            <w14:solidFill>
              <w14:schemeClr w14:val="tx1"/>
            </w14:solidFill>
          </w14:textFill>
        </w:rPr>
      </w:pPr>
    </w:p>
    <w:sectPr>
      <w:pgSz w:w="11906" w:h="16838"/>
      <w:pgMar w:top="1440" w:right="1417" w:bottom="1440" w:left="1134" w:header="851" w:footer="992" w:gutter="0"/>
      <w:cols w:space="0" w:num="1"/>
      <w:titlePg/>
      <w:docGrid w:type="lines" w:linePitch="32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p>
    <w:pPr>
      <w:pStyle w:val="1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330325" cy="296545"/>
          <wp:effectExtent l="0" t="0" r="317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330325" cy="296545"/>
          <wp:effectExtent l="0" t="0" r="3175"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85908"/>
    <w:multiLevelType w:val="singleLevel"/>
    <w:tmpl w:val="4D28590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10"/>
  <w:drawingGridVerticalSpacing w:val="16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37E30"/>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371"/>
    <w:rsid w:val="000A1E60"/>
    <w:rsid w:val="000C0ADC"/>
    <w:rsid w:val="000E1DD1"/>
    <w:rsid w:val="000E7F0C"/>
    <w:rsid w:val="000F4F45"/>
    <w:rsid w:val="000F66B7"/>
    <w:rsid w:val="001030C6"/>
    <w:rsid w:val="00120CC1"/>
    <w:rsid w:val="00126009"/>
    <w:rsid w:val="0013118F"/>
    <w:rsid w:val="001561E9"/>
    <w:rsid w:val="001729A2"/>
    <w:rsid w:val="00176CD4"/>
    <w:rsid w:val="00181C04"/>
    <w:rsid w:val="00182C6E"/>
    <w:rsid w:val="001901ED"/>
    <w:rsid w:val="001A2C54"/>
    <w:rsid w:val="001A5B43"/>
    <w:rsid w:val="001B719E"/>
    <w:rsid w:val="001C6943"/>
    <w:rsid w:val="001D2BB3"/>
    <w:rsid w:val="001E75D3"/>
    <w:rsid w:val="001F2393"/>
    <w:rsid w:val="00226885"/>
    <w:rsid w:val="0023028B"/>
    <w:rsid w:val="00235C32"/>
    <w:rsid w:val="00244E90"/>
    <w:rsid w:val="00245806"/>
    <w:rsid w:val="00246D51"/>
    <w:rsid w:val="0025668E"/>
    <w:rsid w:val="00257789"/>
    <w:rsid w:val="002772BB"/>
    <w:rsid w:val="00290188"/>
    <w:rsid w:val="0029068A"/>
    <w:rsid w:val="00292468"/>
    <w:rsid w:val="002C2C3D"/>
    <w:rsid w:val="002C3845"/>
    <w:rsid w:val="002C4297"/>
    <w:rsid w:val="002C55EF"/>
    <w:rsid w:val="002D1F84"/>
    <w:rsid w:val="002D2852"/>
    <w:rsid w:val="002F795A"/>
    <w:rsid w:val="00317A5B"/>
    <w:rsid w:val="00326F3A"/>
    <w:rsid w:val="00333DF5"/>
    <w:rsid w:val="00334E6F"/>
    <w:rsid w:val="003359C2"/>
    <w:rsid w:val="003570A0"/>
    <w:rsid w:val="00361B92"/>
    <w:rsid w:val="00366367"/>
    <w:rsid w:val="00382D9B"/>
    <w:rsid w:val="00385087"/>
    <w:rsid w:val="00397A32"/>
    <w:rsid w:val="003B4F7D"/>
    <w:rsid w:val="003C60EF"/>
    <w:rsid w:val="003D2633"/>
    <w:rsid w:val="003E6439"/>
    <w:rsid w:val="003F20A6"/>
    <w:rsid w:val="00404FA2"/>
    <w:rsid w:val="004242F4"/>
    <w:rsid w:val="004262D6"/>
    <w:rsid w:val="0043243C"/>
    <w:rsid w:val="004341DA"/>
    <w:rsid w:val="00441955"/>
    <w:rsid w:val="004420EC"/>
    <w:rsid w:val="00463B84"/>
    <w:rsid w:val="00464A0D"/>
    <w:rsid w:val="00465E75"/>
    <w:rsid w:val="0047053F"/>
    <w:rsid w:val="004A199C"/>
    <w:rsid w:val="004B25FE"/>
    <w:rsid w:val="004B41BC"/>
    <w:rsid w:val="004B49C1"/>
    <w:rsid w:val="004B66B1"/>
    <w:rsid w:val="004C21AD"/>
    <w:rsid w:val="004C21F5"/>
    <w:rsid w:val="004D05DB"/>
    <w:rsid w:val="004F7296"/>
    <w:rsid w:val="00502F52"/>
    <w:rsid w:val="0051328B"/>
    <w:rsid w:val="00513D0D"/>
    <w:rsid w:val="0052624B"/>
    <w:rsid w:val="005323AA"/>
    <w:rsid w:val="00541D19"/>
    <w:rsid w:val="0055400F"/>
    <w:rsid w:val="00565BDF"/>
    <w:rsid w:val="0056798C"/>
    <w:rsid w:val="0057673D"/>
    <w:rsid w:val="00582530"/>
    <w:rsid w:val="00590957"/>
    <w:rsid w:val="0059336F"/>
    <w:rsid w:val="00595285"/>
    <w:rsid w:val="005A2C54"/>
    <w:rsid w:val="005A5A4D"/>
    <w:rsid w:val="005B0077"/>
    <w:rsid w:val="005B4036"/>
    <w:rsid w:val="005E60C0"/>
    <w:rsid w:val="005F0F21"/>
    <w:rsid w:val="005F1735"/>
    <w:rsid w:val="005F1FC8"/>
    <w:rsid w:val="005F5BEC"/>
    <w:rsid w:val="005F6713"/>
    <w:rsid w:val="005F7141"/>
    <w:rsid w:val="00611911"/>
    <w:rsid w:val="0062018B"/>
    <w:rsid w:val="006271FC"/>
    <w:rsid w:val="00630374"/>
    <w:rsid w:val="00640ACE"/>
    <w:rsid w:val="00662D25"/>
    <w:rsid w:val="00671771"/>
    <w:rsid w:val="006C7801"/>
    <w:rsid w:val="006E6F80"/>
    <w:rsid w:val="006F3C71"/>
    <w:rsid w:val="006F5FBA"/>
    <w:rsid w:val="00717DA1"/>
    <w:rsid w:val="00726570"/>
    <w:rsid w:val="00726F49"/>
    <w:rsid w:val="007325DE"/>
    <w:rsid w:val="0073285C"/>
    <w:rsid w:val="00733931"/>
    <w:rsid w:val="007607E7"/>
    <w:rsid w:val="00797354"/>
    <w:rsid w:val="007A062C"/>
    <w:rsid w:val="007A522E"/>
    <w:rsid w:val="007B0F09"/>
    <w:rsid w:val="007B2319"/>
    <w:rsid w:val="007D2621"/>
    <w:rsid w:val="007D5DC2"/>
    <w:rsid w:val="007D6C39"/>
    <w:rsid w:val="008111E1"/>
    <w:rsid w:val="00820F76"/>
    <w:rsid w:val="0084750C"/>
    <w:rsid w:val="00852113"/>
    <w:rsid w:val="0086321C"/>
    <w:rsid w:val="0086365D"/>
    <w:rsid w:val="00865B30"/>
    <w:rsid w:val="00866BD7"/>
    <w:rsid w:val="00874219"/>
    <w:rsid w:val="008902DC"/>
    <w:rsid w:val="00895339"/>
    <w:rsid w:val="00896621"/>
    <w:rsid w:val="00897C04"/>
    <w:rsid w:val="008C4323"/>
    <w:rsid w:val="008C6ED2"/>
    <w:rsid w:val="008D55E7"/>
    <w:rsid w:val="0090207A"/>
    <w:rsid w:val="00913FBF"/>
    <w:rsid w:val="00916532"/>
    <w:rsid w:val="00923C7E"/>
    <w:rsid w:val="00936704"/>
    <w:rsid w:val="009423C9"/>
    <w:rsid w:val="009606BC"/>
    <w:rsid w:val="00967E57"/>
    <w:rsid w:val="00994E59"/>
    <w:rsid w:val="009A6542"/>
    <w:rsid w:val="009D66D2"/>
    <w:rsid w:val="009E7645"/>
    <w:rsid w:val="00A10F7F"/>
    <w:rsid w:val="00A124F9"/>
    <w:rsid w:val="00A1433A"/>
    <w:rsid w:val="00A148CE"/>
    <w:rsid w:val="00A24465"/>
    <w:rsid w:val="00A24F96"/>
    <w:rsid w:val="00A25695"/>
    <w:rsid w:val="00A278BD"/>
    <w:rsid w:val="00A31E73"/>
    <w:rsid w:val="00A40610"/>
    <w:rsid w:val="00A4220E"/>
    <w:rsid w:val="00A44A63"/>
    <w:rsid w:val="00A60183"/>
    <w:rsid w:val="00A645CD"/>
    <w:rsid w:val="00A64A5B"/>
    <w:rsid w:val="00A72420"/>
    <w:rsid w:val="00A75297"/>
    <w:rsid w:val="00A81C33"/>
    <w:rsid w:val="00AA1C3E"/>
    <w:rsid w:val="00AA497E"/>
    <w:rsid w:val="00AA49A9"/>
    <w:rsid w:val="00AB73B6"/>
    <w:rsid w:val="00AC6A89"/>
    <w:rsid w:val="00AD29A3"/>
    <w:rsid w:val="00AF3C2A"/>
    <w:rsid w:val="00B067EB"/>
    <w:rsid w:val="00B14C37"/>
    <w:rsid w:val="00B361DF"/>
    <w:rsid w:val="00B47672"/>
    <w:rsid w:val="00B54440"/>
    <w:rsid w:val="00B554E7"/>
    <w:rsid w:val="00B71E24"/>
    <w:rsid w:val="00B73ABB"/>
    <w:rsid w:val="00B95D8A"/>
    <w:rsid w:val="00BA2BBD"/>
    <w:rsid w:val="00BB6506"/>
    <w:rsid w:val="00BB6643"/>
    <w:rsid w:val="00BC17FA"/>
    <w:rsid w:val="00BC36B2"/>
    <w:rsid w:val="00BD49FB"/>
    <w:rsid w:val="00BD4ED9"/>
    <w:rsid w:val="00BD7232"/>
    <w:rsid w:val="00BE1921"/>
    <w:rsid w:val="00BE4D9D"/>
    <w:rsid w:val="00BF24F5"/>
    <w:rsid w:val="00BF25F6"/>
    <w:rsid w:val="00BF35E8"/>
    <w:rsid w:val="00C035B5"/>
    <w:rsid w:val="00C04582"/>
    <w:rsid w:val="00C21AB6"/>
    <w:rsid w:val="00C3262F"/>
    <w:rsid w:val="00C3329D"/>
    <w:rsid w:val="00C343CC"/>
    <w:rsid w:val="00C37980"/>
    <w:rsid w:val="00C44EF4"/>
    <w:rsid w:val="00C53622"/>
    <w:rsid w:val="00C66E1E"/>
    <w:rsid w:val="00C676BA"/>
    <w:rsid w:val="00C77B67"/>
    <w:rsid w:val="00C81AB4"/>
    <w:rsid w:val="00C82CDF"/>
    <w:rsid w:val="00C84E5F"/>
    <w:rsid w:val="00C85795"/>
    <w:rsid w:val="00C857BF"/>
    <w:rsid w:val="00C86B2B"/>
    <w:rsid w:val="00C878DE"/>
    <w:rsid w:val="00CA2053"/>
    <w:rsid w:val="00CA60EC"/>
    <w:rsid w:val="00CC59AE"/>
    <w:rsid w:val="00CC5E1C"/>
    <w:rsid w:val="00D2102C"/>
    <w:rsid w:val="00D25ED4"/>
    <w:rsid w:val="00D300F1"/>
    <w:rsid w:val="00D36D52"/>
    <w:rsid w:val="00D56DEA"/>
    <w:rsid w:val="00D72DAC"/>
    <w:rsid w:val="00D74109"/>
    <w:rsid w:val="00D753F4"/>
    <w:rsid w:val="00D75ABD"/>
    <w:rsid w:val="00D9481E"/>
    <w:rsid w:val="00D97AD9"/>
    <w:rsid w:val="00DD17CC"/>
    <w:rsid w:val="00DD19ED"/>
    <w:rsid w:val="00DE3513"/>
    <w:rsid w:val="00DE4764"/>
    <w:rsid w:val="00DF440D"/>
    <w:rsid w:val="00E11567"/>
    <w:rsid w:val="00E2199A"/>
    <w:rsid w:val="00E274FF"/>
    <w:rsid w:val="00E31C9F"/>
    <w:rsid w:val="00E3310A"/>
    <w:rsid w:val="00E33B9E"/>
    <w:rsid w:val="00E33C1C"/>
    <w:rsid w:val="00E430E9"/>
    <w:rsid w:val="00E56ECD"/>
    <w:rsid w:val="00E95973"/>
    <w:rsid w:val="00EA3C8A"/>
    <w:rsid w:val="00EA5C79"/>
    <w:rsid w:val="00EB382A"/>
    <w:rsid w:val="00EB57F5"/>
    <w:rsid w:val="00EC01CF"/>
    <w:rsid w:val="00EC2F9D"/>
    <w:rsid w:val="00EC458F"/>
    <w:rsid w:val="00ED2437"/>
    <w:rsid w:val="00ED70B8"/>
    <w:rsid w:val="00EE3803"/>
    <w:rsid w:val="00EF53F1"/>
    <w:rsid w:val="00F01226"/>
    <w:rsid w:val="00F0149B"/>
    <w:rsid w:val="00F33D8E"/>
    <w:rsid w:val="00F37846"/>
    <w:rsid w:val="00F412F9"/>
    <w:rsid w:val="00F4295D"/>
    <w:rsid w:val="00F80E38"/>
    <w:rsid w:val="00F8646A"/>
    <w:rsid w:val="00F876DE"/>
    <w:rsid w:val="00F95956"/>
    <w:rsid w:val="00F95A9E"/>
    <w:rsid w:val="00FC3A3C"/>
    <w:rsid w:val="00FF0CC9"/>
    <w:rsid w:val="00FF1750"/>
    <w:rsid w:val="00FF721E"/>
    <w:rsid w:val="12BF532E"/>
    <w:rsid w:val="174F5A48"/>
    <w:rsid w:val="17C01FB7"/>
    <w:rsid w:val="226024DF"/>
    <w:rsid w:val="2BA352F2"/>
    <w:rsid w:val="2C3E452C"/>
    <w:rsid w:val="3F107CA1"/>
    <w:rsid w:val="4367294C"/>
    <w:rsid w:val="45915743"/>
    <w:rsid w:val="491C6D9E"/>
    <w:rsid w:val="4D0C76E6"/>
    <w:rsid w:val="4DC707B1"/>
    <w:rsid w:val="5D5D3B0A"/>
    <w:rsid w:val="5DC06253"/>
    <w:rsid w:val="63EE7680"/>
    <w:rsid w:val="64F5357A"/>
    <w:rsid w:val="67C664FE"/>
    <w:rsid w:val="6D3E02DA"/>
    <w:rsid w:val="6D4D3E8A"/>
    <w:rsid w:val="70B24C43"/>
    <w:rsid w:val="71637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3"/>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4"/>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5"/>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6"/>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7"/>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8"/>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9"/>
    <w:semiHidden/>
    <w:unhideWhenUsed/>
    <w:qFormat/>
    <w:uiPriority w:val="9"/>
    <w:pPr>
      <w:keepNext/>
      <w:keepLines/>
      <w:spacing w:before="120" w:after="0"/>
      <w:outlineLvl w:val="6"/>
    </w:pPr>
    <w:rPr>
      <w:i/>
      <w:iCs/>
    </w:rPr>
  </w:style>
  <w:style w:type="paragraph" w:styleId="9">
    <w:name w:val="heading 8"/>
    <w:basedOn w:val="1"/>
    <w:next w:val="1"/>
    <w:link w:val="40"/>
    <w:semiHidden/>
    <w:unhideWhenUsed/>
    <w:qFormat/>
    <w:uiPriority w:val="9"/>
    <w:pPr>
      <w:keepNext/>
      <w:keepLines/>
      <w:spacing w:before="120" w:after="0"/>
      <w:outlineLvl w:val="7"/>
    </w:pPr>
    <w:rPr>
      <w:b/>
      <w:bCs/>
    </w:rPr>
  </w:style>
  <w:style w:type="paragraph" w:styleId="10">
    <w:name w:val="heading 9"/>
    <w:basedOn w:val="1"/>
    <w:next w:val="1"/>
    <w:link w:val="41"/>
    <w:semiHidden/>
    <w:unhideWhenUsed/>
    <w:qFormat/>
    <w:uiPriority w:val="9"/>
    <w:pPr>
      <w:keepNext/>
      <w:keepLines/>
      <w:spacing w:before="120" w:after="0"/>
      <w:outlineLvl w:val="8"/>
    </w:pPr>
    <w:rPr>
      <w:i/>
      <w:iCs/>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annotation text"/>
    <w:basedOn w:val="1"/>
    <w:semiHidden/>
    <w:unhideWhenUsed/>
    <w:uiPriority w:val="99"/>
    <w:pPr>
      <w:jc w:val="left"/>
    </w:pPr>
  </w:style>
  <w:style w:type="paragraph" w:styleId="14">
    <w:name w:val="Body Text"/>
    <w:basedOn w:val="1"/>
    <w:link w:val="42"/>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43"/>
    <w:unhideWhenUsed/>
    <w:qFormat/>
    <w:uiPriority w:val="0"/>
    <w:rPr>
      <w:rFonts w:hAnsi="Courier New" w:cs="Courier New" w:asciiTheme="minorEastAsia"/>
    </w:rPr>
  </w:style>
  <w:style w:type="paragraph" w:styleId="17">
    <w:name w:val="Date"/>
    <w:basedOn w:val="1"/>
    <w:next w:val="1"/>
    <w:qFormat/>
    <w:uiPriority w:val="0"/>
    <w:pPr>
      <w:adjustRightInd w:val="0"/>
      <w:spacing w:line="360" w:lineRule="atLeast"/>
      <w:textAlignment w:val="baseline"/>
    </w:pPr>
    <w:rPr>
      <w:sz w:val="24"/>
      <w:szCs w:val="20"/>
    </w:rPr>
  </w:style>
  <w:style w:type="paragraph" w:styleId="18">
    <w:name w:val="Balloon Text"/>
    <w:basedOn w:val="1"/>
    <w:link w:val="65"/>
    <w:semiHidden/>
    <w:unhideWhenUsed/>
    <w:qFormat/>
    <w:uiPriority w:val="99"/>
    <w:pPr>
      <w:spacing w:after="0" w:line="240" w:lineRule="auto"/>
    </w:pPr>
    <w:rPr>
      <w:sz w:val="18"/>
      <w:szCs w:val="18"/>
    </w:rPr>
  </w:style>
  <w:style w:type="paragraph" w:styleId="19">
    <w:name w:val="footer"/>
    <w:basedOn w:val="1"/>
    <w:link w:val="44"/>
    <w:unhideWhenUsed/>
    <w:qFormat/>
    <w:uiPriority w:val="99"/>
    <w:pPr>
      <w:tabs>
        <w:tab w:val="center" w:pos="4153"/>
        <w:tab w:val="right" w:pos="8306"/>
      </w:tabs>
      <w:snapToGrid w:val="0"/>
      <w:spacing w:line="240" w:lineRule="auto"/>
      <w:jc w:val="left"/>
    </w:pPr>
    <w:rPr>
      <w:sz w:val="18"/>
      <w:szCs w:val="18"/>
    </w:rPr>
  </w:style>
  <w:style w:type="paragraph" w:styleId="20">
    <w:name w:val="header"/>
    <w:basedOn w:val="1"/>
    <w:link w:val="4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after="100" w:line="259" w:lineRule="auto"/>
      <w:jc w:val="left"/>
    </w:pPr>
    <w:rPr>
      <w:rFonts w:cs="Times New Roman"/>
    </w:rPr>
  </w:style>
  <w:style w:type="paragraph" w:styleId="22">
    <w:name w:val="Subtitle"/>
    <w:basedOn w:val="1"/>
    <w:next w:val="1"/>
    <w:link w:val="46"/>
    <w:qFormat/>
    <w:uiPriority w:val="11"/>
    <w:pPr>
      <w:spacing w:after="240"/>
      <w:jc w:val="center"/>
    </w:pPr>
    <w:rPr>
      <w:rFonts w:asciiTheme="majorHAnsi" w:hAnsiTheme="majorHAnsi" w:eastAsiaTheme="majorEastAsia" w:cstheme="majorBidi"/>
      <w:sz w:val="24"/>
      <w:szCs w:val="24"/>
    </w:rPr>
  </w:style>
  <w:style w:type="paragraph" w:styleId="23">
    <w:name w:val="Body Text Indent 3"/>
    <w:basedOn w:val="1"/>
    <w:link w:val="4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4">
    <w:name w:val="toc 2"/>
    <w:basedOn w:val="1"/>
    <w:next w:val="1"/>
    <w:unhideWhenUsed/>
    <w:qFormat/>
    <w:uiPriority w:val="39"/>
    <w:pPr>
      <w:spacing w:after="100" w:line="259" w:lineRule="auto"/>
      <w:ind w:left="220"/>
      <w:jc w:val="left"/>
    </w:pPr>
    <w:rPr>
      <w:rFonts w:cs="Times New Roman"/>
    </w:rPr>
  </w:style>
  <w:style w:type="paragraph" w:styleId="25">
    <w:name w:val="Title"/>
    <w:basedOn w:val="1"/>
    <w:next w:val="1"/>
    <w:link w:val="4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color w:val="auto"/>
    </w:rPr>
  </w:style>
  <w:style w:type="character" w:styleId="30">
    <w:name w:val="Emphasis"/>
    <w:basedOn w:val="28"/>
    <w:qFormat/>
    <w:uiPriority w:val="20"/>
    <w:rPr>
      <w:i/>
      <w:iCs/>
      <w:color w:val="auto"/>
    </w:rPr>
  </w:style>
  <w:style w:type="character" w:styleId="31">
    <w:name w:val="Hyperlink"/>
    <w:basedOn w:val="28"/>
    <w:unhideWhenUsed/>
    <w:qFormat/>
    <w:uiPriority w:val="99"/>
    <w:rPr>
      <w:color w:val="F49100" w:themeColor="hyperlink"/>
      <w:u w:val="single"/>
      <w14:textFill>
        <w14:solidFill>
          <w14:schemeClr w14:val="hlink"/>
        </w14:solidFill>
      </w14:textFill>
    </w:rPr>
  </w:style>
  <w:style w:type="character" w:styleId="32">
    <w:name w:val="annotation reference"/>
    <w:basedOn w:val="28"/>
    <w:semiHidden/>
    <w:unhideWhenUsed/>
    <w:qFormat/>
    <w:uiPriority w:val="99"/>
    <w:rPr>
      <w:sz w:val="21"/>
      <w:szCs w:val="21"/>
    </w:rPr>
  </w:style>
  <w:style w:type="character" w:customStyle="1" w:styleId="33">
    <w:name w:val="标题 1 字符"/>
    <w:basedOn w:val="28"/>
    <w:link w:val="2"/>
    <w:qFormat/>
    <w:uiPriority w:val="9"/>
    <w:rPr>
      <w:rFonts w:asciiTheme="majorHAnsi" w:hAnsiTheme="majorHAnsi" w:eastAsiaTheme="majorEastAsia" w:cstheme="majorBidi"/>
      <w:b/>
      <w:bCs/>
      <w:caps/>
      <w:spacing w:val="4"/>
      <w:sz w:val="28"/>
      <w:szCs w:val="28"/>
    </w:rPr>
  </w:style>
  <w:style w:type="character" w:customStyle="1" w:styleId="34">
    <w:name w:val="标题 2 字符"/>
    <w:basedOn w:val="28"/>
    <w:link w:val="3"/>
    <w:qFormat/>
    <w:uiPriority w:val="9"/>
    <w:rPr>
      <w:rFonts w:asciiTheme="majorHAnsi" w:hAnsiTheme="majorHAnsi" w:eastAsiaTheme="majorEastAsia" w:cstheme="majorBidi"/>
      <w:b/>
      <w:bCs/>
      <w:sz w:val="28"/>
      <w:szCs w:val="28"/>
    </w:rPr>
  </w:style>
  <w:style w:type="character" w:customStyle="1" w:styleId="35">
    <w:name w:val="标题 3 字符"/>
    <w:basedOn w:val="28"/>
    <w:link w:val="4"/>
    <w:qFormat/>
    <w:uiPriority w:val="9"/>
    <w:rPr>
      <w:rFonts w:asciiTheme="majorHAnsi" w:hAnsiTheme="majorHAnsi" w:eastAsiaTheme="majorEastAsia" w:cstheme="majorBidi"/>
      <w:spacing w:val="4"/>
      <w:sz w:val="24"/>
      <w:szCs w:val="24"/>
    </w:rPr>
  </w:style>
  <w:style w:type="character" w:customStyle="1" w:styleId="36">
    <w:name w:val="标题 4 字符"/>
    <w:basedOn w:val="28"/>
    <w:link w:val="5"/>
    <w:semiHidden/>
    <w:qFormat/>
    <w:uiPriority w:val="9"/>
    <w:rPr>
      <w:rFonts w:asciiTheme="majorHAnsi" w:hAnsiTheme="majorHAnsi" w:eastAsiaTheme="majorEastAsia" w:cstheme="majorBidi"/>
      <w:i/>
      <w:iCs/>
      <w:sz w:val="24"/>
      <w:szCs w:val="24"/>
    </w:rPr>
  </w:style>
  <w:style w:type="character" w:customStyle="1" w:styleId="37">
    <w:name w:val="标题 5 字符"/>
    <w:basedOn w:val="28"/>
    <w:link w:val="6"/>
    <w:semiHidden/>
    <w:qFormat/>
    <w:uiPriority w:val="9"/>
    <w:rPr>
      <w:rFonts w:asciiTheme="majorHAnsi" w:hAnsiTheme="majorHAnsi" w:eastAsiaTheme="majorEastAsia" w:cstheme="majorBidi"/>
      <w:b/>
      <w:bCs/>
    </w:rPr>
  </w:style>
  <w:style w:type="character" w:customStyle="1" w:styleId="38">
    <w:name w:val="标题 6 字符"/>
    <w:basedOn w:val="28"/>
    <w:link w:val="7"/>
    <w:semiHidden/>
    <w:qFormat/>
    <w:uiPriority w:val="9"/>
    <w:rPr>
      <w:rFonts w:asciiTheme="majorHAnsi" w:hAnsiTheme="majorHAnsi" w:eastAsiaTheme="majorEastAsia" w:cstheme="majorBidi"/>
      <w:b/>
      <w:bCs/>
      <w:i/>
      <w:iCs/>
    </w:rPr>
  </w:style>
  <w:style w:type="character" w:customStyle="1" w:styleId="39">
    <w:name w:val="标题 7 字符"/>
    <w:basedOn w:val="28"/>
    <w:link w:val="8"/>
    <w:semiHidden/>
    <w:qFormat/>
    <w:uiPriority w:val="9"/>
    <w:rPr>
      <w:i/>
      <w:iCs/>
    </w:rPr>
  </w:style>
  <w:style w:type="character" w:customStyle="1" w:styleId="40">
    <w:name w:val="标题 8 字符"/>
    <w:basedOn w:val="28"/>
    <w:link w:val="9"/>
    <w:semiHidden/>
    <w:qFormat/>
    <w:uiPriority w:val="9"/>
    <w:rPr>
      <w:b/>
      <w:bCs/>
    </w:rPr>
  </w:style>
  <w:style w:type="character" w:customStyle="1" w:styleId="41">
    <w:name w:val="标题 9 字符"/>
    <w:basedOn w:val="28"/>
    <w:link w:val="10"/>
    <w:semiHidden/>
    <w:qFormat/>
    <w:uiPriority w:val="9"/>
    <w:rPr>
      <w:i/>
      <w:iCs/>
    </w:rPr>
  </w:style>
  <w:style w:type="character" w:customStyle="1" w:styleId="42">
    <w:name w:val="正文文本 字符"/>
    <w:basedOn w:val="28"/>
    <w:link w:val="14"/>
    <w:semiHidden/>
    <w:qFormat/>
    <w:uiPriority w:val="99"/>
  </w:style>
  <w:style w:type="character" w:customStyle="1" w:styleId="43">
    <w:name w:val="纯文本 字符"/>
    <w:basedOn w:val="28"/>
    <w:link w:val="16"/>
    <w:qFormat/>
    <w:uiPriority w:val="0"/>
    <w:rPr>
      <w:rFonts w:hAnsi="Courier New" w:cs="Courier New" w:asciiTheme="minorEastAsia"/>
    </w:rPr>
  </w:style>
  <w:style w:type="character" w:customStyle="1" w:styleId="44">
    <w:name w:val="页脚 字符"/>
    <w:basedOn w:val="28"/>
    <w:link w:val="19"/>
    <w:qFormat/>
    <w:uiPriority w:val="99"/>
    <w:rPr>
      <w:sz w:val="18"/>
      <w:szCs w:val="18"/>
    </w:rPr>
  </w:style>
  <w:style w:type="character" w:customStyle="1" w:styleId="45">
    <w:name w:val="页眉 字符"/>
    <w:basedOn w:val="28"/>
    <w:link w:val="20"/>
    <w:qFormat/>
    <w:uiPriority w:val="99"/>
    <w:rPr>
      <w:sz w:val="18"/>
      <w:szCs w:val="18"/>
    </w:rPr>
  </w:style>
  <w:style w:type="character" w:customStyle="1" w:styleId="46">
    <w:name w:val="副标题 字符"/>
    <w:basedOn w:val="28"/>
    <w:link w:val="22"/>
    <w:qFormat/>
    <w:uiPriority w:val="11"/>
    <w:rPr>
      <w:rFonts w:asciiTheme="majorHAnsi" w:hAnsiTheme="majorHAnsi" w:eastAsiaTheme="majorEastAsia" w:cstheme="majorBidi"/>
      <w:sz w:val="24"/>
      <w:szCs w:val="24"/>
    </w:rPr>
  </w:style>
  <w:style w:type="character" w:customStyle="1" w:styleId="47">
    <w:name w:val="正文文本缩进 3 字符"/>
    <w:basedOn w:val="28"/>
    <w:link w:val="23"/>
    <w:qFormat/>
    <w:uiPriority w:val="0"/>
    <w:rPr>
      <w:rFonts w:ascii="Times New Roman" w:hAnsi="Times New Roman" w:eastAsia="宋体" w:cs="Times New Roman"/>
      <w:kern w:val="2"/>
      <w:sz w:val="16"/>
      <w:szCs w:val="16"/>
    </w:rPr>
  </w:style>
  <w:style w:type="character" w:customStyle="1" w:styleId="48">
    <w:name w:val="标题 字符"/>
    <w:basedOn w:val="28"/>
    <w:link w:val="25"/>
    <w:qFormat/>
    <w:uiPriority w:val="10"/>
    <w:rPr>
      <w:rFonts w:asciiTheme="majorHAnsi" w:hAnsiTheme="majorHAnsi" w:eastAsiaTheme="majorEastAsia" w:cstheme="majorBidi"/>
      <w:b/>
      <w:bCs/>
      <w:spacing w:val="-7"/>
      <w:sz w:val="48"/>
      <w:szCs w:val="48"/>
    </w:rPr>
  </w:style>
  <w:style w:type="paragraph" w:styleId="49">
    <w:name w:val="No Spacing"/>
    <w:link w:val="50"/>
    <w:qFormat/>
    <w:uiPriority w:val="1"/>
    <w:pPr>
      <w:jc w:val="both"/>
    </w:pPr>
    <w:rPr>
      <w:rFonts w:asciiTheme="minorHAnsi" w:hAnsiTheme="minorHAnsi" w:eastAsiaTheme="minorEastAsia" w:cstheme="minorBidi"/>
      <w:sz w:val="22"/>
      <w:szCs w:val="22"/>
      <w:lang w:val="en-US" w:eastAsia="zh-CN" w:bidi="ar-SA"/>
    </w:rPr>
  </w:style>
  <w:style w:type="character" w:customStyle="1" w:styleId="50">
    <w:name w:val="无间隔 字符"/>
    <w:basedOn w:val="28"/>
    <w:link w:val="49"/>
    <w:qFormat/>
    <w:uiPriority w:val="1"/>
  </w:style>
  <w:style w:type="paragraph" w:styleId="51">
    <w:name w:val="Quote"/>
    <w:basedOn w:val="1"/>
    <w:next w:val="1"/>
    <w:link w:val="5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52">
    <w:name w:val="引用 字符"/>
    <w:basedOn w:val="28"/>
    <w:link w:val="51"/>
    <w:qFormat/>
    <w:uiPriority w:val="29"/>
    <w:rPr>
      <w:rFonts w:asciiTheme="majorHAnsi" w:hAnsiTheme="majorHAnsi" w:eastAsiaTheme="majorEastAsia" w:cstheme="majorBidi"/>
      <w:i/>
      <w:iCs/>
      <w:sz w:val="24"/>
      <w:szCs w:val="24"/>
    </w:rPr>
  </w:style>
  <w:style w:type="paragraph" w:styleId="53">
    <w:name w:val="Intense Quote"/>
    <w:basedOn w:val="1"/>
    <w:next w:val="1"/>
    <w:link w:val="5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4">
    <w:name w:val="明显引用 字符"/>
    <w:basedOn w:val="28"/>
    <w:link w:val="53"/>
    <w:qFormat/>
    <w:uiPriority w:val="30"/>
    <w:rPr>
      <w:rFonts w:asciiTheme="majorHAnsi" w:hAnsiTheme="majorHAnsi" w:eastAsiaTheme="majorEastAsia" w:cstheme="majorBidi"/>
      <w:sz w:val="26"/>
      <w:szCs w:val="26"/>
    </w:rPr>
  </w:style>
  <w:style w:type="character" w:customStyle="1" w:styleId="55">
    <w:name w:val="不明显强调1"/>
    <w:basedOn w:val="28"/>
    <w:qFormat/>
    <w:uiPriority w:val="19"/>
    <w:rPr>
      <w:i/>
      <w:iCs/>
      <w:color w:val="auto"/>
    </w:rPr>
  </w:style>
  <w:style w:type="character" w:customStyle="1" w:styleId="56">
    <w:name w:val="明显强调1"/>
    <w:basedOn w:val="28"/>
    <w:qFormat/>
    <w:uiPriority w:val="21"/>
    <w:rPr>
      <w:b/>
      <w:bCs/>
      <w:i/>
      <w:iCs/>
      <w:color w:val="auto"/>
    </w:rPr>
  </w:style>
  <w:style w:type="character" w:customStyle="1" w:styleId="57">
    <w:name w:val="不明显参考1"/>
    <w:basedOn w:val="28"/>
    <w:qFormat/>
    <w:uiPriority w:val="31"/>
    <w:rPr>
      <w:smallCaps/>
      <w:color w:val="auto"/>
      <w:u w:val="single" w:color="7E7E7E" w:themeColor="text1" w:themeTint="80"/>
    </w:rPr>
  </w:style>
  <w:style w:type="character" w:customStyle="1" w:styleId="58">
    <w:name w:val="明显参考1"/>
    <w:basedOn w:val="28"/>
    <w:qFormat/>
    <w:uiPriority w:val="32"/>
    <w:rPr>
      <w:b/>
      <w:bCs/>
      <w:smallCaps/>
      <w:color w:val="auto"/>
      <w:u w:val="single"/>
    </w:rPr>
  </w:style>
  <w:style w:type="character" w:customStyle="1" w:styleId="59">
    <w:name w:val="书籍标题1"/>
    <w:basedOn w:val="28"/>
    <w:qFormat/>
    <w:uiPriority w:val="33"/>
    <w:rPr>
      <w:b/>
      <w:bCs/>
      <w:smallCaps/>
      <w:color w:val="auto"/>
    </w:rPr>
  </w:style>
  <w:style w:type="paragraph" w:customStyle="1" w:styleId="60">
    <w:name w:val="TOC 标题1"/>
    <w:basedOn w:val="2"/>
    <w:next w:val="1"/>
    <w:unhideWhenUsed/>
    <w:qFormat/>
    <w:uiPriority w:val="39"/>
    <w:pPr>
      <w:outlineLvl w:val="9"/>
    </w:pPr>
  </w:style>
  <w:style w:type="paragraph" w:customStyle="1" w:styleId="6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2">
    <w:name w:val="List Paragraph"/>
    <w:basedOn w:val="1"/>
    <w:qFormat/>
    <w:uiPriority w:val="34"/>
    <w:pPr>
      <w:ind w:firstLine="420" w:firstLineChars="200"/>
    </w:pPr>
  </w:style>
  <w:style w:type="paragraph" w:customStyle="1" w:styleId="63">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4">
    <w:name w:val="纯文本 Char"/>
    <w:qFormat/>
    <w:uiPriority w:val="0"/>
    <w:rPr>
      <w:rFonts w:ascii="宋体" w:hAnsi="Courier New" w:eastAsia="宋体"/>
      <w:kern w:val="2"/>
      <w:sz w:val="21"/>
      <w:lang w:val="en-US" w:eastAsia="zh-CN" w:bidi="ar-SA"/>
    </w:rPr>
  </w:style>
  <w:style w:type="character" w:customStyle="1" w:styleId="65">
    <w:name w:val="批注框文本 字符"/>
    <w:basedOn w:val="28"/>
    <w:link w:val="1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55FAF-721F-4458-8F29-F9D00CA13F7F}">
  <ds:schemaRefs/>
</ds:datastoreItem>
</file>

<file path=docProps/app.xml><?xml version="1.0" encoding="utf-8"?>
<Properties xmlns="http://schemas.openxmlformats.org/officeDocument/2006/extended-properties" xmlns:vt="http://schemas.openxmlformats.org/officeDocument/2006/docPropsVTypes">
  <Template>Normal</Template>
  <Pages>15</Pages>
  <Words>749</Words>
  <Characters>4271</Characters>
  <Lines>35</Lines>
  <Paragraphs>10</Paragraphs>
  <TotalTime>26</TotalTime>
  <ScaleCrop>false</ScaleCrop>
  <LinksUpToDate>false</LinksUpToDate>
  <CharactersWithSpaces>5010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2021-07-12T10:38:00Z</dcterms:created>
  <dc:creator>树亮 门</dc:creator>
  <cp:lastModifiedBy>刘轩辰</cp:lastModifiedBy>
  <cp:lastPrinted>2020-07-28T09:28:00Z</cp:lastPrinted>
  <dcterms:modified xsi:type="dcterms:W3CDTF">2021-07-26T09:10:55Z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966FA253D8FB4778BA4E2F59F3879D82</vt:lpwstr>
  </property>
</Properties>
</file>