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r>
        <w:rPr>
          <w:rFonts w:ascii="Century Gothic" w:hAnsi="Century Gothic" w:eastAsia="宋体" w:cs="Times New Roman"/>
        </w:rPr>
        <w:drawing>
          <wp:anchor distT="0" distB="0" distL="114300" distR="114300" simplePos="0" relativeHeight="251659264" behindDoc="0" locked="0" layoutInCell="1" allowOverlap="1">
            <wp:simplePos x="0" y="0"/>
            <wp:positionH relativeFrom="column">
              <wp:posOffset>0</wp:posOffset>
            </wp:positionH>
            <wp:positionV relativeFrom="paragraph">
              <wp:posOffset>304165</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38472698"/>
      <w:r>
        <w:rPr>
          <w:rFonts w:hint="eastAsia" w:ascii="仿宋" w:hAnsi="仿宋" w:eastAsia="仿宋"/>
          <w:b/>
          <w:sz w:val="44"/>
          <w:szCs w:val="44"/>
        </w:rPr>
        <w:t>关于2021年高低压配电房供配电维保服务项目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eastAsia" w:ascii="仿宋" w:hAnsi="仿宋" w:eastAsia="仿宋"/>
          <w:b/>
          <w:color w:val="FF0000"/>
          <w:sz w:val="36"/>
          <w:szCs w:val="36"/>
          <w:lang w:eastAsia="zh-CN"/>
        </w:rPr>
      </w:pPr>
      <w:r>
        <w:rPr>
          <w:rFonts w:hint="eastAsia" w:ascii="仿宋" w:hAnsi="仿宋" w:eastAsia="仿宋"/>
          <w:b/>
          <w:sz w:val="36"/>
          <w:szCs w:val="36"/>
        </w:rPr>
        <w:t>项目编号：ZWC-202104</w:t>
      </w:r>
      <w:r>
        <w:rPr>
          <w:rFonts w:hint="eastAsia" w:ascii="仿宋" w:hAnsi="仿宋" w:eastAsia="仿宋"/>
          <w:b/>
          <w:sz w:val="36"/>
          <w:szCs w:val="36"/>
          <w:lang w:val="en-US" w:eastAsia="zh-CN"/>
        </w:rPr>
        <w:t>7</w:t>
      </w:r>
    </w:p>
    <w:p>
      <w:pPr>
        <w:pStyle w:val="14"/>
        <w:keepNext w:val="0"/>
        <w:keepLines w:val="0"/>
        <w:pageBreakBefore w:val="0"/>
        <w:widowControl/>
        <w:kinsoku/>
        <w:wordWrap/>
        <w:overflowPunct/>
        <w:topLinePunct w:val="0"/>
        <w:autoSpaceDE/>
        <w:autoSpaceDN/>
        <w:bidi w:val="0"/>
        <w:adjustRightInd/>
        <w:snapToGrid/>
        <w:spacing w:line="500" w:lineRule="exact"/>
        <w:ind w:left="4185" w:leftChars="1081" w:hanging="1807" w:hangingChars="500"/>
        <w:jc w:val="left"/>
        <w:textAlignment w:val="auto"/>
        <w:outlineLvl w:val="0"/>
        <w:rPr>
          <w:rFonts w:hint="eastAsia" w:ascii="仿宋" w:hAnsi="仿宋" w:eastAsia="仿宋" w:cs="仿宋"/>
          <w:color w:val="C00000"/>
          <w:sz w:val="36"/>
          <w:szCs w:val="36"/>
          <w:lang w:val="en-US" w:eastAsia="zh-CN"/>
        </w:rPr>
      </w:pPr>
      <w:bookmarkStart w:id="1" w:name="_Toc160880118"/>
      <w:bookmarkStart w:id="2" w:name="_Toc160880485"/>
      <w:bookmarkStart w:id="3" w:name="_Toc169332792"/>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11937196"/>
      <w:bookmarkStart w:id="5" w:name="_Toc212456146"/>
      <w:bookmarkStart w:id="6" w:name="_Toc267059010"/>
      <w:bookmarkStart w:id="7" w:name="_Toc255974963"/>
      <w:bookmarkStart w:id="8" w:name="_Toc217891359"/>
      <w:bookmarkStart w:id="9" w:name="_Toc160880487"/>
      <w:bookmarkStart w:id="10" w:name="_Toc235437942"/>
      <w:bookmarkStart w:id="11" w:name="_Toc267059899"/>
      <w:bookmarkStart w:id="12" w:name="_Toc251613780"/>
      <w:bookmarkStart w:id="13" w:name="_Toc259520819"/>
      <w:bookmarkStart w:id="14" w:name="_Toc235438227"/>
      <w:bookmarkStart w:id="15" w:name="_Toc235438297"/>
      <w:bookmarkStart w:id="16" w:name="_Toc253066567"/>
      <w:bookmarkStart w:id="17" w:name="_Toc225669277"/>
      <w:bookmarkStart w:id="18" w:name="_Toc223146565"/>
      <w:bookmarkStart w:id="19" w:name="_Toc249325665"/>
      <w:bookmarkStart w:id="20" w:name="_Toc212530253"/>
      <w:bookmarkStart w:id="21" w:name="_Toc170798743"/>
      <w:bookmarkStart w:id="22" w:name="_Toc266868624"/>
      <w:bookmarkStart w:id="23" w:name="_Toc259692600"/>
      <w:bookmarkStart w:id="24" w:name="_Toc219800200"/>
      <w:bookmarkStart w:id="25" w:name="_Toc254790852"/>
      <w:bookmarkStart w:id="26" w:name="_Toc227058483"/>
      <w:bookmarkStart w:id="27" w:name="_Toc236021402"/>
      <w:bookmarkStart w:id="28" w:name="_Toc267059786"/>
      <w:bookmarkStart w:id="29" w:name="_Toc212454753"/>
      <w:bookmarkStart w:id="30" w:name="_Toc259692693"/>
      <w:bookmarkStart w:id="31" w:name="_Toc267060162"/>
      <w:bookmarkStart w:id="32" w:name="_Toc207014580"/>
      <w:bookmarkStart w:id="33" w:name="_Toc216241307"/>
      <w:bookmarkStart w:id="34" w:name="_Toc212526081"/>
      <w:bookmarkStart w:id="35" w:name="_Toc267059161"/>
      <w:bookmarkStart w:id="36" w:name="_Toc266870386"/>
      <w:bookmarkStart w:id="37" w:name="_Toc267059633"/>
      <w:bookmarkStart w:id="38" w:name="_Toc267060407"/>
      <w:bookmarkStart w:id="39" w:name="_Toc169332904"/>
      <w:bookmarkStart w:id="40" w:name="_Toc251586187"/>
      <w:bookmarkStart w:id="41" w:name="_Toc258401210"/>
      <w:bookmarkStart w:id="42" w:name="_Toc267060022"/>
      <w:bookmarkStart w:id="43" w:name="_Toc169332794"/>
      <w:bookmarkStart w:id="44" w:name="_Toc177985424"/>
      <w:bookmarkStart w:id="45" w:name="_Toc267059519"/>
      <w:bookmarkStart w:id="46" w:name="_Toc273178686"/>
      <w:bookmarkStart w:id="47" w:name="_Toc266868924"/>
      <w:bookmarkStart w:id="48" w:name="_Toc266870861"/>
      <w:r>
        <w:rPr>
          <w:rFonts w:hint="eastAsia" w:ascii="仿宋" w:hAnsi="仿宋" w:eastAsia="仿宋"/>
          <w:b/>
          <w:sz w:val="36"/>
          <w:szCs w:val="36"/>
        </w:rPr>
        <w:t>2021年高低压配电房供配电维保服务</w:t>
      </w:r>
      <w:r>
        <w:rPr>
          <w:rFonts w:hint="eastAsia" w:ascii="仿宋" w:hAnsi="仿宋" w:eastAsia="仿宋"/>
          <w:b/>
          <w:sz w:val="36"/>
          <w:szCs w:val="36"/>
          <w:lang w:val="en-US" w:eastAsia="zh-CN"/>
        </w:rPr>
        <w:t>项目</w:t>
      </w:r>
    </w:p>
    <w:p>
      <w:pPr>
        <w:keepNext w:val="0"/>
        <w:keepLines w:val="0"/>
        <w:pageBreakBefore w:val="0"/>
        <w:widowControl/>
        <w:kinsoku/>
        <w:wordWrap/>
        <w:overflowPunct/>
        <w:topLinePunct w:val="0"/>
        <w:autoSpaceDE/>
        <w:autoSpaceDN/>
        <w:bidi w:val="0"/>
        <w:adjustRightInd/>
        <w:snapToGrid/>
        <w:spacing w:line="500" w:lineRule="exact"/>
        <w:ind w:hanging="1807" w:hangingChars="500"/>
        <w:textAlignment w:val="auto"/>
        <w:rPr>
          <w:rFonts w:ascii="仿宋" w:hAnsi="仿宋" w:eastAsia="仿宋"/>
          <w:b/>
          <w:color w:val="FF0000"/>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ascii="仿宋" w:hAnsi="仿宋" w:eastAsia="仿宋"/>
          <w:color w:val="000000"/>
          <w:sz w:val="28"/>
          <w:szCs w:val="28"/>
        </w:rPr>
      </w:pPr>
      <w:bookmarkStart w:id="49" w:name="_Hlk10840310"/>
      <w:r>
        <w:rPr>
          <w:rFonts w:hint="eastAsia" w:ascii="仿宋" w:hAnsi="仿宋" w:eastAsia="仿宋"/>
          <w:color w:val="000000"/>
          <w:sz w:val="28"/>
          <w:szCs w:val="28"/>
        </w:rPr>
        <w:t>重庆外语外事学院始建于2001年，是纳入国家普通高等教育招生计划、具有学士学位授予权的全日制普通本科高等学校。学校占地面积1572亩，学生规模约1.5万人。根据需要，对</w:t>
      </w:r>
      <w:r>
        <w:rPr>
          <w:rFonts w:hint="eastAsia" w:ascii="仿宋" w:hAnsi="仿宋" w:eastAsia="仿宋"/>
          <w:sz w:val="28"/>
          <w:szCs w:val="28"/>
        </w:rPr>
        <w:t>202</w:t>
      </w:r>
      <w:r>
        <w:rPr>
          <w:rFonts w:ascii="仿宋" w:hAnsi="仿宋" w:eastAsia="仿宋"/>
          <w:sz w:val="28"/>
          <w:szCs w:val="28"/>
        </w:rPr>
        <w:t>1</w:t>
      </w:r>
      <w:r>
        <w:rPr>
          <w:rFonts w:hint="eastAsia" w:ascii="仿宋" w:hAnsi="仿宋" w:eastAsia="仿宋"/>
          <w:sz w:val="28"/>
          <w:szCs w:val="28"/>
        </w:rPr>
        <w:t>年</w:t>
      </w:r>
      <w:r>
        <w:rPr>
          <w:rFonts w:hint="eastAsia" w:ascii="仿宋" w:hAnsi="仿宋" w:eastAsia="仿宋"/>
          <w:sz w:val="28"/>
          <w:szCs w:val="28"/>
          <w:lang w:eastAsia="zh-CN"/>
        </w:rPr>
        <w:t>生化池</w:t>
      </w:r>
      <w:r>
        <w:rPr>
          <w:rFonts w:hint="eastAsia" w:ascii="仿宋" w:hAnsi="仿宋" w:eastAsia="仿宋"/>
          <w:sz w:val="28"/>
          <w:szCs w:val="28"/>
        </w:rPr>
        <w:t>清理服务项目</w:t>
      </w:r>
      <w:r>
        <w:rPr>
          <w:rFonts w:hint="eastAsia" w:ascii="仿宋" w:hAnsi="仿宋" w:eastAsia="仿宋"/>
          <w:color w:val="000000"/>
          <w:sz w:val="28"/>
          <w:szCs w:val="28"/>
        </w:rPr>
        <w:t>进行公开询价，欢迎国内合格参与人参与。</w:t>
      </w:r>
    </w:p>
    <w:p>
      <w:pPr>
        <w:keepNext w:val="0"/>
        <w:keepLines w:val="0"/>
        <w:pageBreakBefore w:val="0"/>
        <w:kinsoku/>
        <w:wordWrap/>
        <w:overflowPunct/>
        <w:topLinePunct w:val="0"/>
        <w:autoSpaceDE/>
        <w:autoSpaceDN/>
        <w:bidi w:val="0"/>
        <w:adjustRightInd/>
        <w:snapToGrid/>
        <w:spacing w:after="0" w:line="460" w:lineRule="exact"/>
        <w:ind w:firstLine="425" w:firstLineChars="152"/>
        <w:jc w:val="left"/>
        <w:textAlignment w:val="auto"/>
        <w:rPr>
          <w:rFonts w:ascii="仿宋" w:hAnsi="仿宋" w:eastAsia="仿宋"/>
          <w:color w:val="000000"/>
          <w:sz w:val="28"/>
          <w:szCs w:val="28"/>
        </w:rPr>
      </w:pPr>
      <w:r>
        <w:rPr>
          <w:rFonts w:hint="eastAsia" w:ascii="仿宋" w:hAnsi="仿宋" w:eastAsia="仿宋"/>
          <w:color w:val="000000"/>
          <w:sz w:val="28"/>
          <w:szCs w:val="28"/>
        </w:rPr>
        <w:t>一、项目说明</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项目编号：ZWC-202104</w:t>
      </w:r>
      <w:r>
        <w:rPr>
          <w:rFonts w:hint="eastAsia" w:ascii="仿宋" w:hAnsi="仿宋" w:eastAsia="仿宋"/>
          <w:sz w:val="28"/>
          <w:szCs w:val="28"/>
          <w:lang w:val="en-US" w:eastAsia="zh-CN"/>
        </w:rPr>
        <w:t>7</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项目名称：2021年高低压配电房供配电维保服务</w:t>
      </w:r>
      <w:r>
        <w:rPr>
          <w:rFonts w:hint="eastAsia" w:ascii="仿宋" w:hAnsi="仿宋" w:eastAsia="仿宋"/>
          <w:sz w:val="28"/>
          <w:szCs w:val="28"/>
          <w:lang w:val="en-US" w:eastAsia="zh-CN"/>
        </w:rPr>
        <w:t>项目</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数量及主要技术要求:详见《公开询价项目介绍》。</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参与人资格标准：</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ascii="仿宋" w:hAnsi="仿宋" w:eastAsia="仿宋"/>
          <w:sz w:val="28"/>
          <w:szCs w:val="28"/>
        </w:rPr>
      </w:pPr>
      <w:r>
        <w:rPr>
          <w:rFonts w:hint="eastAsia" w:ascii="仿宋" w:hAnsi="仿宋" w:eastAsia="仿宋"/>
          <w:sz w:val="28"/>
          <w:szCs w:val="28"/>
        </w:rPr>
        <w:t>（1）参与</w:t>
      </w:r>
      <w:r>
        <w:rPr>
          <w:rFonts w:hint="eastAsia" w:ascii="仿宋" w:hAnsi="仿宋" w:eastAsia="仿宋"/>
          <w:sz w:val="28"/>
          <w:szCs w:val="28"/>
          <w:lang w:val="en-US" w:eastAsia="zh-CN"/>
        </w:rPr>
        <w:t>人应</w:t>
      </w:r>
      <w:r>
        <w:rPr>
          <w:rFonts w:hint="eastAsia" w:ascii="仿宋" w:hAnsi="仿宋" w:eastAsia="仿宋"/>
          <w:sz w:val="28"/>
          <w:szCs w:val="28"/>
        </w:rPr>
        <w:t>具备独立法人资格，具有电力工程施工总承包叁级以上（含叁级）资质或输变电工程专业承包叁级以上（含叁级）资质；。</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（2）参与人应在重庆市范围有固定售后服务机构，具备相应的服务能力。</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（3）参与人应遵守中国的有关法律、法规和规章的规定。</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hint="eastAsia" w:ascii="仿宋" w:hAnsi="仿宋" w:eastAsia="仿宋"/>
          <w:sz w:val="28"/>
          <w:szCs w:val="28"/>
        </w:rPr>
        <w:t>参与单位应具</w:t>
      </w:r>
      <w:r>
        <w:rPr>
          <w:rFonts w:hint="eastAsia" w:ascii="仿宋" w:hAnsi="仿宋" w:eastAsia="仿宋"/>
          <w:sz w:val="28"/>
          <w:szCs w:val="28"/>
          <w:lang w:val="en-US" w:eastAsia="zh-CN"/>
        </w:rPr>
        <w:t>有</w:t>
      </w:r>
      <w:r>
        <w:rPr>
          <w:rFonts w:hint="eastAsia" w:ascii="仿宋" w:hAnsi="仿宋" w:eastAsia="仿宋"/>
          <w:sz w:val="28"/>
          <w:szCs w:val="28"/>
        </w:rPr>
        <w:t>三年以上（包括三年）</w:t>
      </w:r>
      <w:r>
        <w:rPr>
          <w:rFonts w:hint="eastAsia" w:ascii="仿宋" w:hAnsi="仿宋" w:eastAsia="仿宋"/>
          <w:sz w:val="28"/>
          <w:szCs w:val="28"/>
          <w:lang w:val="en-US" w:eastAsia="zh-CN"/>
        </w:rPr>
        <w:t>3个以上同类项目的服务应用成功案例</w:t>
      </w:r>
      <w:r>
        <w:rPr>
          <w:rFonts w:hint="eastAsia" w:ascii="仿宋" w:hAnsi="仿宋" w:eastAsia="仿宋"/>
          <w:sz w:val="28"/>
          <w:szCs w:val="28"/>
        </w:rPr>
        <w:t>（提供文字或图片),近三年未发生重大安全或质量事故。</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5</w:t>
      </w:r>
      <w:r>
        <w:rPr>
          <w:rFonts w:hint="eastAsia" w:ascii="仿宋" w:hAnsi="仿宋" w:eastAsia="仿宋"/>
          <w:sz w:val="28"/>
          <w:szCs w:val="28"/>
        </w:rPr>
        <w:t>）参与单位具有良好的商业信誉和健全的财务会计制度；</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）参与人有依法缴纳税金的良好记录；</w:t>
      </w:r>
    </w:p>
    <w:p>
      <w:pPr>
        <w:pStyle w:val="56"/>
        <w:keepNext w:val="0"/>
        <w:keepLines w:val="0"/>
        <w:pageBreakBefore w:val="0"/>
        <w:widowControl w:val="0"/>
        <w:kinsoku/>
        <w:wordWrap/>
        <w:overflowPunct/>
        <w:topLinePunct w:val="0"/>
        <w:autoSpaceDE/>
        <w:autoSpaceDN/>
        <w:bidi w:val="0"/>
        <w:adjustRightInd/>
        <w:snapToGrid/>
        <w:spacing w:after="0" w:line="460" w:lineRule="exact"/>
        <w:ind w:left="929" w:leftChars="100" w:hanging="709" w:firstLineChars="0"/>
        <w:textAlignment w:val="auto"/>
        <w:rPr>
          <w:rFonts w:hint="eastAsia" w:ascii="仿宋" w:hAnsi="仿宋" w:eastAsia="仿宋"/>
          <w:sz w:val="28"/>
          <w:szCs w:val="28"/>
        </w:rPr>
      </w:pPr>
      <w:r>
        <w:rPr>
          <w:rFonts w:hint="eastAsia" w:ascii="仿宋" w:hAnsi="仿宋" w:eastAsia="仿宋"/>
          <w:sz w:val="28"/>
          <w:szCs w:val="28"/>
        </w:rPr>
        <w:t>（7）参与人应提供下列资格证明文件，否则其响应文件将被拒绝：</w:t>
      </w:r>
    </w:p>
    <w:p>
      <w:pPr>
        <w:keepNext w:val="0"/>
        <w:keepLines w:val="0"/>
        <w:pageBreakBefore w:val="0"/>
        <w:widowControl/>
        <w:kinsoku/>
        <w:wordWrap/>
        <w:overflowPunct/>
        <w:topLinePunct w:val="0"/>
        <w:autoSpaceDE/>
        <w:autoSpaceDN/>
        <w:bidi w:val="0"/>
        <w:adjustRightInd/>
        <w:snapToGrid/>
        <w:spacing w:after="0" w:line="460" w:lineRule="exact"/>
        <w:ind w:left="880" w:leftChars="4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）营业执照副本、税务登记证副本、组织机构代码证副本</w:t>
      </w:r>
      <w:r>
        <w:rPr>
          <w:rFonts w:ascii="仿宋" w:hAnsi="仿宋" w:eastAsia="仿宋"/>
          <w:sz w:val="28"/>
          <w:szCs w:val="28"/>
        </w:rPr>
        <w:t>(</w:t>
      </w:r>
      <w:r>
        <w:rPr>
          <w:rFonts w:hint="eastAsia" w:ascii="仿宋" w:hAnsi="仿宋" w:eastAsia="仿宋"/>
          <w:sz w:val="28"/>
          <w:szCs w:val="28"/>
        </w:rPr>
        <w:t>三证合一的只需提供带有社会信用代码的营业执照</w:t>
      </w:r>
      <w:r>
        <w:rPr>
          <w:rFonts w:ascii="仿宋" w:hAnsi="仿宋" w:eastAsia="仿宋"/>
          <w:sz w:val="28"/>
          <w:szCs w:val="28"/>
        </w:rPr>
        <w:t>)</w:t>
      </w:r>
      <w:r>
        <w:rPr>
          <w:rFonts w:hint="eastAsia" w:ascii="仿宋" w:hAnsi="仿宋" w:eastAsia="仿宋"/>
          <w:sz w:val="28"/>
          <w:szCs w:val="28"/>
        </w:rPr>
        <w:t>；</w:t>
      </w:r>
    </w:p>
    <w:p>
      <w:pPr>
        <w:keepNext w:val="0"/>
        <w:keepLines w:val="0"/>
        <w:pageBreakBefore w:val="0"/>
        <w:widowControl/>
        <w:kinsoku/>
        <w:wordWrap/>
        <w:overflowPunct/>
        <w:topLinePunct w:val="0"/>
        <w:autoSpaceDE/>
        <w:autoSpaceDN/>
        <w:bidi w:val="0"/>
        <w:adjustRightInd/>
        <w:snapToGrid/>
        <w:spacing w:after="0" w:line="460" w:lineRule="exact"/>
        <w:ind w:left="880" w:leftChars="400"/>
        <w:textAlignment w:val="auto"/>
        <w:rPr>
          <w:rFonts w:ascii="仿宋" w:hAnsi="仿宋" w:eastAsia="仿宋"/>
          <w:sz w:val="28"/>
          <w:szCs w:val="28"/>
        </w:rPr>
      </w:pPr>
      <w:r>
        <w:rPr>
          <w:rFonts w:hint="eastAsia" w:ascii="仿宋" w:hAnsi="仿宋" w:eastAsia="仿宋"/>
          <w:sz w:val="28"/>
          <w:szCs w:val="28"/>
        </w:rPr>
        <w:t>2）授权代理商需提供厂家授权证明；</w:t>
      </w:r>
    </w:p>
    <w:p>
      <w:pPr>
        <w:keepNext w:val="0"/>
        <w:keepLines w:val="0"/>
        <w:pageBreakBefore w:val="0"/>
        <w:widowControl/>
        <w:kinsoku/>
        <w:wordWrap/>
        <w:overflowPunct/>
        <w:topLinePunct w:val="0"/>
        <w:autoSpaceDE/>
        <w:autoSpaceDN/>
        <w:bidi w:val="0"/>
        <w:adjustRightInd/>
        <w:snapToGrid/>
        <w:spacing w:after="0" w:line="460" w:lineRule="exact"/>
        <w:ind w:left="880" w:leftChars="4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）2020年公司财务报表及纳税证明；</w:t>
      </w:r>
    </w:p>
    <w:p>
      <w:pPr>
        <w:keepNext w:val="0"/>
        <w:keepLines w:val="0"/>
        <w:pageBreakBefore w:val="0"/>
        <w:widowControl/>
        <w:numPr>
          <w:ilvl w:val="0"/>
          <w:numId w:val="2"/>
        </w:numPr>
        <w:kinsoku/>
        <w:wordWrap/>
        <w:overflowPunct/>
        <w:topLinePunct w:val="0"/>
        <w:autoSpaceDE/>
        <w:autoSpaceDN/>
        <w:bidi w:val="0"/>
        <w:adjustRightInd/>
        <w:snapToGrid/>
        <w:spacing w:after="0" w:line="460" w:lineRule="exact"/>
        <w:ind w:left="880" w:leftChars="400"/>
        <w:textAlignment w:val="auto"/>
        <w:rPr>
          <w:rFonts w:hint="eastAsia" w:ascii="仿宋" w:hAnsi="仿宋" w:eastAsia="仿宋"/>
          <w:sz w:val="28"/>
          <w:szCs w:val="28"/>
        </w:rPr>
      </w:pPr>
      <w:r>
        <w:rPr>
          <w:rFonts w:hint="eastAsia" w:ascii="仿宋" w:hAnsi="仿宋" w:eastAsia="仿宋"/>
          <w:sz w:val="28"/>
          <w:szCs w:val="28"/>
        </w:rPr>
        <w:t>社会保障资金的缴纳记录证明。</w:t>
      </w:r>
    </w:p>
    <w:p>
      <w:pPr>
        <w:keepNext w:val="0"/>
        <w:keepLines w:val="0"/>
        <w:pageBreakBefore w:val="0"/>
        <w:kinsoku/>
        <w:wordWrap/>
        <w:overflowPunct/>
        <w:topLinePunct w:val="0"/>
        <w:autoSpaceDE/>
        <w:autoSpaceDN/>
        <w:bidi w:val="0"/>
        <w:adjustRightInd/>
        <w:snapToGrid/>
        <w:spacing w:after="0" w:line="460" w:lineRule="exact"/>
        <w:textAlignment w:val="auto"/>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报价响应文件递交方式：</w:t>
      </w:r>
      <w:r>
        <w:rPr>
          <w:rFonts w:hint="eastAsia" w:ascii="仿宋" w:hAnsi="仿宋" w:eastAsia="仿宋"/>
          <w:b/>
          <w:bCs/>
          <w:sz w:val="28"/>
          <w:szCs w:val="28"/>
        </w:rPr>
        <w:t>密封报价并使用现场报送或邮寄报送</w:t>
      </w:r>
      <w:r>
        <w:rPr>
          <w:rFonts w:hint="eastAsia" w:ascii="仿宋" w:hAnsi="仿宋" w:eastAsia="仿宋"/>
          <w:sz w:val="28"/>
          <w:szCs w:val="28"/>
        </w:rPr>
        <w:t>。</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报价响应文件递交截止时间：2021年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w:t>
      </w:r>
      <w:r>
        <w:rPr>
          <w:rFonts w:hint="eastAsia" w:ascii="仿宋" w:hAnsi="仿宋" w:eastAsia="仿宋"/>
          <w:sz w:val="28"/>
          <w:szCs w:val="28"/>
        </w:rPr>
        <w:t>日下午16:00前（以参与人快递寄出时间为准）。</w:t>
      </w:r>
    </w:p>
    <w:p>
      <w:pPr>
        <w:keepNext w:val="0"/>
        <w:keepLines w:val="0"/>
        <w:pageBreakBefore w:val="0"/>
        <w:widowControl w:val="0"/>
        <w:numPr>
          <w:ilvl w:val="0"/>
          <w:numId w:val="1"/>
        </w:numPr>
        <w:tabs>
          <w:tab w:val="left" w:pos="839"/>
          <w:tab w:val="left" w:pos="1469"/>
        </w:tabs>
        <w:kinsoku/>
        <w:wordWrap/>
        <w:overflowPunct/>
        <w:topLinePunct w:val="0"/>
        <w:autoSpaceDE/>
        <w:autoSpaceDN/>
        <w:bidi w:val="0"/>
        <w:adjustRightInd/>
        <w:snapToGrid/>
        <w:spacing w:after="0" w:line="460" w:lineRule="exact"/>
        <w:ind w:left="425" w:leftChars="0" w:hanging="425" w:firstLineChars="0"/>
        <w:textAlignment w:val="auto"/>
        <w:rPr>
          <w:rFonts w:hint="eastAsia" w:ascii="仿宋" w:hAnsi="仿宋" w:eastAsia="仿宋"/>
          <w:sz w:val="28"/>
          <w:szCs w:val="28"/>
        </w:rPr>
      </w:pPr>
      <w:r>
        <w:rPr>
          <w:rFonts w:hint="eastAsia" w:ascii="仿宋" w:hAnsi="仿宋" w:eastAsia="仿宋"/>
          <w:sz w:val="28"/>
          <w:szCs w:val="28"/>
        </w:rPr>
        <w:t>报价响应文件递交地点：渝北区回兴龙石路18号学院办公楼二楼202室。</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660" w:leftChars="300"/>
        <w:textAlignment w:val="auto"/>
        <w:rPr>
          <w:rFonts w:ascii="仿宋" w:hAnsi="仿宋" w:eastAsia="仿宋"/>
          <w:b/>
          <w:bCs/>
          <w:sz w:val="28"/>
          <w:szCs w:val="28"/>
        </w:rPr>
      </w:pPr>
      <w:bookmarkStart w:id="50" w:name="_Hlk67753493"/>
      <w:r>
        <w:rPr>
          <w:rFonts w:hint="eastAsia" w:ascii="仿宋" w:hAnsi="仿宋" w:eastAsia="仿宋"/>
          <w:b/>
          <w:bCs/>
          <w:sz w:val="28"/>
          <w:szCs w:val="28"/>
        </w:rPr>
        <w:t xml:space="preserve">联系人：喻峻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18502371287</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660" w:leftChars="300"/>
        <w:textAlignment w:val="auto"/>
        <w:rPr>
          <w:rFonts w:hint="default" w:ascii="仿宋" w:hAnsi="仿宋" w:eastAsia="仿宋"/>
          <w:b/>
          <w:bCs/>
          <w:sz w:val="28"/>
          <w:szCs w:val="28"/>
          <w:lang w:val="en-US" w:eastAsia="zh-CN"/>
        </w:rPr>
      </w:pPr>
      <w:r>
        <w:rPr>
          <w:rFonts w:hint="eastAsia" w:ascii="仿宋" w:hAnsi="仿宋" w:eastAsia="仿宋"/>
          <w:b/>
          <w:bCs/>
          <w:sz w:val="28"/>
          <w:szCs w:val="28"/>
        </w:rPr>
        <w:t>项目答疑人：</w:t>
      </w:r>
      <w:r>
        <w:rPr>
          <w:rFonts w:hint="eastAsia" w:ascii="仿宋" w:hAnsi="仿宋" w:eastAsia="仿宋"/>
          <w:b/>
          <w:bCs/>
          <w:sz w:val="28"/>
          <w:szCs w:val="28"/>
          <w:lang w:val="en-US" w:eastAsia="zh-CN"/>
        </w:rPr>
        <w:t>聂平</w:t>
      </w:r>
      <w:r>
        <w:rPr>
          <w:rFonts w:hint="eastAsia" w:ascii="仿宋" w:hAnsi="仿宋" w:eastAsia="仿宋"/>
          <w:b/>
          <w:bCs/>
          <w:sz w:val="28"/>
          <w:szCs w:val="28"/>
        </w:rPr>
        <w:t xml:space="preserve">      联系电话：</w:t>
      </w:r>
      <w:r>
        <w:rPr>
          <w:rFonts w:hint="eastAsia" w:ascii="仿宋" w:hAnsi="仿宋" w:eastAsia="仿宋"/>
          <w:b/>
          <w:bCs/>
          <w:sz w:val="28"/>
          <w:szCs w:val="28"/>
          <w:lang w:val="en-US" w:eastAsia="zh-CN"/>
        </w:rPr>
        <w:t>13002367326</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660" w:leftChars="300"/>
        <w:textAlignment w:val="auto"/>
        <w:rPr>
          <w:rFonts w:ascii="仿宋" w:hAnsi="仿宋" w:eastAsia="仿宋"/>
          <w:b/>
          <w:bCs/>
          <w:sz w:val="28"/>
          <w:szCs w:val="28"/>
        </w:rPr>
      </w:pPr>
      <w:r>
        <w:rPr>
          <w:rFonts w:hint="eastAsia" w:ascii="仿宋" w:hAnsi="仿宋" w:eastAsia="仿宋"/>
          <w:b/>
          <w:bCs/>
          <w:sz w:val="28"/>
          <w:szCs w:val="28"/>
        </w:rPr>
        <w:t>注：响应文件按以上地址送达</w:t>
      </w:r>
    </w:p>
    <w:bookmarkEnd w:id="50"/>
    <w:p>
      <w:pPr>
        <w:keepNext w:val="0"/>
        <w:keepLines w:val="0"/>
        <w:pageBreakBefore w:val="0"/>
        <w:kinsoku/>
        <w:wordWrap/>
        <w:overflowPunct/>
        <w:topLinePunct w:val="0"/>
        <w:autoSpaceDE/>
        <w:autoSpaceDN/>
        <w:bidi w:val="0"/>
        <w:adjustRightInd/>
        <w:snapToGrid/>
        <w:spacing w:after="0" w:line="460" w:lineRule="exact"/>
        <w:ind w:firstLine="425" w:firstLineChars="152"/>
        <w:jc w:val="left"/>
        <w:textAlignment w:val="auto"/>
        <w:rPr>
          <w:rFonts w:ascii="仿宋" w:hAnsi="仿宋" w:eastAsia="仿宋"/>
          <w:color w:val="000000"/>
          <w:sz w:val="28"/>
          <w:szCs w:val="28"/>
        </w:rPr>
      </w:pPr>
      <w:r>
        <w:rPr>
          <w:rFonts w:hint="eastAsia" w:ascii="仿宋" w:hAnsi="仿宋" w:eastAsia="仿宋"/>
          <w:color w:val="000000"/>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1.所有货物及施工改造服务等均以人民币报价；</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ascii="仿宋" w:hAnsi="仿宋" w:eastAsia="仿宋"/>
          <w:sz w:val="28"/>
          <w:szCs w:val="28"/>
        </w:rPr>
      </w:pPr>
      <w:r>
        <w:rPr>
          <w:rFonts w:hint="eastAsia" w:ascii="仿宋" w:hAnsi="仿宋" w:eastAsia="仿宋"/>
          <w:sz w:val="28"/>
          <w:szCs w:val="28"/>
        </w:rPr>
        <w:t>(2) 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after="0" w:line="460" w:lineRule="exact"/>
        <w:jc w:val="left"/>
        <w:textAlignment w:val="auto"/>
        <w:rPr>
          <w:rFonts w:hint="eastAsia" w:ascii="仿宋" w:hAnsi="仿宋" w:eastAsia="仿宋"/>
          <w:sz w:val="28"/>
          <w:szCs w:val="28"/>
        </w:rPr>
      </w:pPr>
      <w:r>
        <w:rPr>
          <w:rFonts w:hint="eastAsia" w:ascii="仿宋" w:hAnsi="仿宋" w:eastAsia="仿宋"/>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460" w:lineRule="exact"/>
        <w:ind w:firstLine="425" w:firstLineChars="152"/>
        <w:jc w:val="left"/>
        <w:textAlignment w:val="auto"/>
        <w:rPr>
          <w:rFonts w:ascii="仿宋" w:hAnsi="仿宋" w:eastAsia="仿宋"/>
          <w:color w:val="FF0000"/>
          <w:sz w:val="28"/>
          <w:szCs w:val="28"/>
        </w:rPr>
      </w:pPr>
      <w:r>
        <w:rPr>
          <w:rFonts w:hint="eastAsia" w:ascii="仿宋" w:hAnsi="仿宋" w:eastAsia="仿宋"/>
          <w:sz w:val="28"/>
          <w:szCs w:val="28"/>
        </w:rPr>
        <w:t>三、售后服务要求</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jc w:val="left"/>
        <w:textAlignment w:val="auto"/>
        <w:rPr>
          <w:rFonts w:ascii="仿宋" w:hAnsi="仿宋" w:eastAsia="仿宋"/>
          <w:sz w:val="28"/>
          <w:szCs w:val="28"/>
        </w:rPr>
      </w:pPr>
      <w:bookmarkStart w:id="326" w:name="_GoBack"/>
      <w:r>
        <w:rPr>
          <w:rFonts w:ascii="仿宋" w:hAnsi="仿宋" w:eastAsia="仿宋"/>
          <w:sz w:val="28"/>
          <w:szCs w:val="28"/>
        </w:rPr>
        <w:t>在质保期内,须在</w:t>
      </w:r>
      <w:r>
        <w:rPr>
          <w:rFonts w:hint="eastAsia" w:ascii="仿宋" w:hAnsi="仿宋" w:eastAsia="仿宋"/>
          <w:sz w:val="28"/>
          <w:szCs w:val="28"/>
          <w:lang w:val="en-US" w:eastAsia="zh-CN"/>
        </w:rPr>
        <w:t>4</w:t>
      </w:r>
      <w:r>
        <w:rPr>
          <w:rFonts w:ascii="仿宋" w:hAnsi="仿宋" w:eastAsia="仿宋"/>
          <w:sz w:val="28"/>
          <w:szCs w:val="28"/>
        </w:rPr>
        <w:t>小时内到达处理及时到场维修,如因延误或处理不当造成的损失,应承担相应的责任。</w:t>
      </w:r>
      <w:bookmarkEnd w:id="326"/>
    </w:p>
    <w:p>
      <w:pPr>
        <w:keepNext w:val="0"/>
        <w:keepLines w:val="0"/>
        <w:pageBreakBefore w:val="0"/>
        <w:widowControl w:val="0"/>
        <w:kinsoku/>
        <w:wordWrap/>
        <w:overflowPunct/>
        <w:topLinePunct w:val="0"/>
        <w:autoSpaceDE/>
        <w:autoSpaceDN/>
        <w:bidi w:val="0"/>
        <w:adjustRightInd/>
        <w:snapToGrid/>
        <w:spacing w:after="0" w:line="460" w:lineRule="exact"/>
        <w:ind w:left="426"/>
        <w:jc w:val="left"/>
        <w:textAlignment w:val="auto"/>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560" w:firstLineChars="200"/>
        <w:jc w:val="left"/>
        <w:textAlignment w:val="auto"/>
        <w:rPr>
          <w:rFonts w:ascii="仿宋" w:hAnsi="仿宋" w:eastAsia="仿宋"/>
          <w:sz w:val="28"/>
          <w:szCs w:val="28"/>
        </w:rPr>
      </w:pPr>
      <w:r>
        <w:rPr>
          <w:rFonts w:hint="eastAsia" w:ascii="仿宋" w:hAnsi="仿宋" w:eastAsia="仿宋"/>
          <w:sz w:val="28"/>
          <w:szCs w:val="28"/>
        </w:rPr>
        <w:t>符合采购需求、质量和服务要求,经过磋商所报价格为合理价格的参与人为成交参与人，最低报价不作为成交的保证。</w:t>
      </w:r>
    </w:p>
    <w:p>
      <w:pPr>
        <w:keepNext w:val="0"/>
        <w:keepLines w:val="0"/>
        <w:pageBreakBefore w:val="0"/>
        <w:kinsoku/>
        <w:wordWrap/>
        <w:overflowPunct/>
        <w:topLinePunct w:val="0"/>
        <w:autoSpaceDE/>
        <w:autoSpaceDN/>
        <w:bidi w:val="0"/>
        <w:adjustRightInd/>
        <w:snapToGrid/>
        <w:spacing w:after="0" w:line="460" w:lineRule="exact"/>
        <w:textAlignment w:val="auto"/>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keepNext w:val="0"/>
        <w:keepLines w:val="0"/>
        <w:pageBreakBefore w:val="0"/>
        <w:kinsoku/>
        <w:wordWrap/>
        <w:overflowPunct/>
        <w:topLinePunct w:val="0"/>
        <w:autoSpaceDE/>
        <w:autoSpaceDN/>
        <w:bidi w:val="0"/>
        <w:adjustRightInd/>
        <w:snapToGrid/>
        <w:spacing w:after="0" w:line="460" w:lineRule="exact"/>
        <w:textAlignment w:val="auto"/>
        <w:rPr>
          <w:rFonts w:ascii="仿宋" w:hAnsi="仿宋" w:eastAsia="仿宋"/>
          <w:b/>
          <w:bCs/>
          <w:sz w:val="28"/>
          <w:szCs w:val="28"/>
        </w:rPr>
      </w:pPr>
      <w:r>
        <w:rPr>
          <w:rFonts w:hint="eastAsia" w:ascii="仿宋" w:hAnsi="仿宋" w:eastAsia="仿宋"/>
          <w:b/>
          <w:bCs/>
          <w:sz w:val="28"/>
          <w:szCs w:val="28"/>
        </w:rPr>
        <w:t>投诉邮箱：Neikongbu@educationgroup.cn</w:t>
      </w:r>
    </w:p>
    <w:p>
      <w:pPr>
        <w:keepNext w:val="0"/>
        <w:keepLines w:val="0"/>
        <w:pageBreakBefore w:val="0"/>
        <w:kinsoku/>
        <w:wordWrap/>
        <w:overflowPunct/>
        <w:topLinePunct w:val="0"/>
        <w:autoSpaceDE/>
        <w:autoSpaceDN/>
        <w:bidi w:val="0"/>
        <w:adjustRightInd/>
        <w:snapToGrid/>
        <w:spacing w:after="0" w:line="460" w:lineRule="exact"/>
        <w:textAlignment w:val="auto"/>
        <w:rPr>
          <w:rFonts w:ascii="仿宋" w:hAnsi="仿宋" w:eastAsia="仿宋"/>
          <w:b/>
          <w:bCs/>
          <w:sz w:val="28"/>
          <w:szCs w:val="28"/>
        </w:rPr>
      </w:pPr>
      <w:r>
        <w:rPr>
          <w:rFonts w:hint="eastAsia" w:ascii="仿宋" w:hAnsi="仿宋" w:eastAsia="仿宋"/>
          <w:b/>
          <w:bCs/>
          <w:sz w:val="28"/>
          <w:szCs w:val="28"/>
        </w:rPr>
        <w:t>本项目最终成交结果会在中教集团后勤贤知平台“中标信息公示”板块公示，网址：www.ceghqxz.com</w:t>
      </w:r>
    </w:p>
    <w:p>
      <w:pPr>
        <w:rPr>
          <w:rFonts w:ascii="仿宋" w:hAnsi="仿宋" w:eastAsia="仿宋"/>
          <w:color w:val="FF0000"/>
          <w:sz w:val="28"/>
          <w:szCs w:val="28"/>
        </w:rPr>
      </w:pPr>
      <w:r>
        <w:rPr>
          <w:rFonts w:ascii="仿宋" w:hAnsi="仿宋" w:eastAsia="仿宋"/>
          <w:color w:val="FF0000"/>
          <w:sz w:val="28"/>
          <w:szCs w:val="28"/>
        </w:rPr>
        <w:br w:type="page"/>
      </w:r>
    </w:p>
    <w:p>
      <w:pPr>
        <w:pStyle w:val="53"/>
        <w:spacing w:line="360" w:lineRule="auto"/>
        <w:jc w:val="center"/>
        <w:outlineLvl w:val="0"/>
        <w:rPr>
          <w:rFonts w:ascii="仿宋" w:hAnsi="仿宋" w:eastAsia="仿宋"/>
          <w:b/>
          <w:color w:val="FF0000"/>
          <w:sz w:val="32"/>
          <w:szCs w:val="32"/>
        </w:rPr>
      </w:pPr>
      <w:r>
        <w:rPr>
          <w:rFonts w:hint="eastAsia" w:ascii="仿宋" w:hAnsi="仿宋" w:eastAsia="仿宋"/>
          <w:b/>
          <w:color w:val="auto"/>
          <w:sz w:val="44"/>
          <w:szCs w:val="44"/>
        </w:rPr>
        <w:t>二、公开询价项目介绍</w:t>
      </w:r>
      <w:bookmarkEnd w:id="49"/>
    </w:p>
    <w:p>
      <w:pPr>
        <w:spacing w:line="420" w:lineRule="exact"/>
        <w:jc w:val="center"/>
        <w:rPr>
          <w:rFonts w:ascii="仿宋" w:hAnsi="仿宋" w:eastAsia="仿宋"/>
          <w:b/>
          <w:color w:val="FF0000"/>
          <w:sz w:val="32"/>
          <w:szCs w:val="32"/>
        </w:rPr>
      </w:pPr>
    </w:p>
    <w:p>
      <w:pPr>
        <w:spacing w:after="0" w:line="500" w:lineRule="exact"/>
        <w:ind w:left="1968" w:hanging="1968" w:hangingChars="700"/>
        <w:jc w:val="center"/>
        <w:rPr>
          <w:rFonts w:ascii="仿宋" w:hAnsi="仿宋" w:eastAsia="仿宋"/>
          <w:b/>
          <w:sz w:val="28"/>
          <w:szCs w:val="28"/>
        </w:rPr>
      </w:pPr>
      <w:r>
        <w:rPr>
          <w:rFonts w:hint="eastAsia" w:ascii="仿宋" w:hAnsi="仿宋" w:eastAsia="仿宋"/>
          <w:b/>
          <w:sz w:val="28"/>
          <w:szCs w:val="28"/>
        </w:rPr>
        <w:t>项目简介</w:t>
      </w:r>
    </w:p>
    <w:p>
      <w:pPr>
        <w:spacing w:after="0" w:line="500" w:lineRule="exact"/>
        <w:ind w:left="1968" w:hanging="1968" w:hangingChars="700"/>
        <w:rPr>
          <w:rFonts w:hint="eastAsia" w:ascii="仿宋" w:hAnsi="仿宋" w:eastAsia="仿宋"/>
          <w:bCs/>
          <w:sz w:val="28"/>
          <w:szCs w:val="28"/>
          <w:lang w:val="en-US" w:eastAsia="zh-CN"/>
        </w:rPr>
      </w:pPr>
      <w:r>
        <w:rPr>
          <w:rFonts w:hint="eastAsia" w:ascii="仿宋" w:hAnsi="仿宋" w:eastAsia="仿宋"/>
          <w:b/>
          <w:sz w:val="28"/>
          <w:szCs w:val="28"/>
        </w:rPr>
        <w:t>一、项目名称：</w:t>
      </w:r>
      <w:r>
        <w:rPr>
          <w:rFonts w:hint="eastAsia" w:ascii="仿宋" w:hAnsi="仿宋" w:eastAsia="仿宋"/>
          <w:sz w:val="28"/>
          <w:szCs w:val="28"/>
        </w:rPr>
        <w:t>2020年高低压配电房供配电维保服务</w:t>
      </w:r>
      <w:r>
        <w:rPr>
          <w:rFonts w:hint="eastAsia" w:ascii="仿宋" w:hAnsi="仿宋" w:eastAsia="仿宋"/>
          <w:sz w:val="28"/>
          <w:szCs w:val="28"/>
          <w:lang w:val="en-US" w:eastAsia="zh-CN"/>
        </w:rPr>
        <w:t>项目</w:t>
      </w:r>
    </w:p>
    <w:p>
      <w:pPr>
        <w:spacing w:after="0" w:line="500" w:lineRule="exact"/>
        <w:ind w:left="1985" w:hanging="1985" w:hangingChars="706"/>
        <w:rPr>
          <w:rFonts w:ascii="仿宋" w:hAnsi="仿宋" w:eastAsia="仿宋"/>
          <w:color w:val="000000" w:themeColor="text1"/>
          <w:sz w:val="28"/>
          <w:szCs w:val="28"/>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重庆市渝北区龙石路18号（渝北校区）、重庆市綦江区文龙街道学府路1号（綦江校区）。</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220" w:lineRule="atLeast"/>
        <w:jc w:val="center"/>
        <w:rPr>
          <w:rFonts w:asciiTheme="minorEastAsia" w:hAnsiTheme="minorEastAsia"/>
          <w:b/>
          <w:sz w:val="28"/>
          <w:szCs w:val="28"/>
        </w:rPr>
      </w:pPr>
      <w:r>
        <w:rPr>
          <w:rFonts w:hint="eastAsia" w:asciiTheme="minorEastAsia" w:hAnsiTheme="minorEastAsia"/>
          <w:b/>
          <w:sz w:val="28"/>
          <w:szCs w:val="28"/>
        </w:rPr>
        <w:t>高低压配电房维保服务内容</w:t>
      </w:r>
    </w:p>
    <w:p>
      <w:pPr>
        <w:spacing w:after="0" w:line="500" w:lineRule="exact"/>
        <w:rPr>
          <w:rFonts w:ascii="仿宋" w:hAnsi="仿宋" w:eastAsia="仿宋"/>
          <w:b/>
          <w:bCs/>
          <w:sz w:val="28"/>
          <w:szCs w:val="28"/>
        </w:rPr>
      </w:pPr>
      <w:r>
        <w:rPr>
          <w:rFonts w:hint="eastAsia" w:ascii="仿宋" w:hAnsi="仿宋" w:eastAsia="仿宋"/>
          <w:b/>
          <w:bCs/>
          <w:sz w:val="28"/>
          <w:szCs w:val="28"/>
        </w:rPr>
        <w:t>一、设施、设备维保服务地点和范围</w:t>
      </w:r>
    </w:p>
    <w:p>
      <w:pPr>
        <w:pStyle w:val="56"/>
        <w:spacing w:after="0" w:line="500" w:lineRule="exact"/>
        <w:ind w:firstLine="562"/>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1</w:t>
      </w:r>
      <w:r>
        <w:rPr>
          <w:rFonts w:hint="eastAsia" w:ascii="仿宋" w:hAnsi="仿宋" w:eastAsia="仿宋"/>
          <w:b/>
          <w:bCs/>
          <w:sz w:val="28"/>
          <w:szCs w:val="28"/>
        </w:rPr>
        <w:t>地点</w:t>
      </w:r>
    </w:p>
    <w:p>
      <w:pPr>
        <w:pStyle w:val="56"/>
        <w:spacing w:after="0" w:line="500" w:lineRule="exact"/>
        <w:ind w:firstLine="560"/>
        <w:rPr>
          <w:rFonts w:ascii="仿宋" w:hAnsi="仿宋" w:eastAsia="仿宋"/>
          <w:sz w:val="28"/>
          <w:szCs w:val="28"/>
        </w:rPr>
      </w:pPr>
      <w:r>
        <w:rPr>
          <w:rFonts w:hint="eastAsia" w:ascii="仿宋" w:hAnsi="仿宋" w:eastAsia="仿宋"/>
          <w:sz w:val="28"/>
          <w:szCs w:val="28"/>
        </w:rPr>
        <w:t>四川外国语大学重庆南方翻译学院渝北、綦江两校区。</w:t>
      </w:r>
    </w:p>
    <w:p>
      <w:pPr>
        <w:pStyle w:val="56"/>
        <w:spacing w:after="0" w:line="500" w:lineRule="exact"/>
        <w:ind w:firstLine="562"/>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 xml:space="preserve">.2 </w:t>
      </w:r>
      <w:r>
        <w:rPr>
          <w:rFonts w:hint="eastAsia" w:ascii="仿宋" w:hAnsi="仿宋" w:eastAsia="仿宋"/>
          <w:b/>
          <w:bCs/>
          <w:sz w:val="28"/>
          <w:szCs w:val="28"/>
        </w:rPr>
        <w:t>范围</w:t>
      </w:r>
    </w:p>
    <w:p>
      <w:pPr>
        <w:pStyle w:val="56"/>
        <w:spacing w:after="0" w:line="500" w:lineRule="exact"/>
        <w:ind w:firstLine="56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渝北校区设备、设施范围：足球场配电室、图书馆配电室、红钥匙艺术楼配电室、8</w:t>
      </w:r>
      <w:r>
        <w:rPr>
          <w:rFonts w:ascii="仿宋" w:hAnsi="仿宋" w:eastAsia="仿宋"/>
          <w:sz w:val="28"/>
          <w:szCs w:val="28"/>
        </w:rPr>
        <w:t>-2</w:t>
      </w:r>
      <w:r>
        <w:rPr>
          <w:rFonts w:hint="eastAsia" w:ascii="仿宋" w:hAnsi="仿宋" w:eastAsia="仿宋"/>
          <w:sz w:val="28"/>
          <w:szCs w:val="28"/>
        </w:rPr>
        <w:t>号宿舍楼配电室。</w:t>
      </w:r>
    </w:p>
    <w:p>
      <w:pPr>
        <w:pStyle w:val="56"/>
        <w:spacing w:after="0" w:line="500" w:lineRule="exact"/>
        <w:ind w:firstLine="560"/>
        <w:rPr>
          <w:rFonts w:ascii="仿宋" w:hAnsi="仿宋" w:eastAsia="仿宋"/>
          <w:sz w:val="28"/>
          <w:szCs w:val="28"/>
        </w:rPr>
      </w:pPr>
      <w:r>
        <w:rPr>
          <w:rFonts w:hint="eastAsia" w:ascii="仿宋" w:hAnsi="仿宋" w:eastAsia="仿宋"/>
          <w:sz w:val="28"/>
          <w:szCs w:val="28"/>
        </w:rPr>
        <w:t>具体设备、设施：（1）高压柜2</w:t>
      </w:r>
      <w:r>
        <w:rPr>
          <w:rFonts w:ascii="仿宋" w:hAnsi="仿宋" w:eastAsia="仿宋"/>
          <w:sz w:val="28"/>
          <w:szCs w:val="28"/>
        </w:rPr>
        <w:t>4</w:t>
      </w:r>
      <w:r>
        <w:rPr>
          <w:rFonts w:hint="eastAsia" w:ascii="仿宋" w:hAnsi="仿宋" w:eastAsia="仿宋"/>
          <w:sz w:val="28"/>
          <w:szCs w:val="28"/>
        </w:rPr>
        <w:t>台；（2）变压器7台（8</w:t>
      </w:r>
      <w:r>
        <w:rPr>
          <w:rFonts w:ascii="仿宋" w:hAnsi="仿宋" w:eastAsia="仿宋"/>
          <w:sz w:val="28"/>
          <w:szCs w:val="28"/>
        </w:rPr>
        <w:t>00KVA 2</w:t>
      </w:r>
      <w:r>
        <w:rPr>
          <w:rFonts w:hint="eastAsia" w:ascii="仿宋" w:hAnsi="仿宋" w:eastAsia="仿宋"/>
          <w:sz w:val="28"/>
          <w:szCs w:val="28"/>
        </w:rPr>
        <w:t>台，1</w:t>
      </w:r>
      <w:r>
        <w:rPr>
          <w:rFonts w:ascii="仿宋" w:hAnsi="仿宋" w:eastAsia="仿宋"/>
          <w:sz w:val="28"/>
          <w:szCs w:val="28"/>
        </w:rPr>
        <w:t>000KVA 2</w:t>
      </w:r>
      <w:r>
        <w:rPr>
          <w:rFonts w:hint="eastAsia" w:ascii="仿宋" w:hAnsi="仿宋" w:eastAsia="仿宋"/>
          <w:sz w:val="28"/>
          <w:szCs w:val="28"/>
        </w:rPr>
        <w:t>台，1</w:t>
      </w:r>
      <w:r>
        <w:rPr>
          <w:rFonts w:ascii="仿宋" w:hAnsi="仿宋" w:eastAsia="仿宋"/>
          <w:sz w:val="28"/>
          <w:szCs w:val="28"/>
        </w:rPr>
        <w:t>250KVA 3</w:t>
      </w:r>
      <w:r>
        <w:rPr>
          <w:rFonts w:hint="eastAsia" w:ascii="仿宋" w:hAnsi="仿宋" w:eastAsia="仿宋"/>
          <w:sz w:val="28"/>
          <w:szCs w:val="28"/>
        </w:rPr>
        <w:t>台）；（3）继电保护、自动装置</w:t>
      </w:r>
      <w:r>
        <w:rPr>
          <w:rFonts w:ascii="仿宋" w:hAnsi="仿宋" w:eastAsia="仿宋"/>
          <w:sz w:val="28"/>
          <w:szCs w:val="28"/>
        </w:rPr>
        <w:t>25</w:t>
      </w:r>
      <w:r>
        <w:rPr>
          <w:rFonts w:hint="eastAsia" w:ascii="仿宋" w:hAnsi="仿宋" w:eastAsia="仿宋"/>
          <w:sz w:val="28"/>
          <w:szCs w:val="28"/>
        </w:rPr>
        <w:t>台；（4）1</w:t>
      </w:r>
      <w:r>
        <w:rPr>
          <w:rFonts w:ascii="仿宋" w:hAnsi="仿宋" w:eastAsia="仿宋"/>
          <w:sz w:val="28"/>
          <w:szCs w:val="28"/>
        </w:rPr>
        <w:t xml:space="preserve">0KV </w:t>
      </w:r>
      <w:r>
        <w:rPr>
          <w:rFonts w:hint="eastAsia" w:ascii="仿宋" w:hAnsi="仿宋" w:eastAsia="仿宋"/>
          <w:sz w:val="28"/>
          <w:szCs w:val="28"/>
        </w:rPr>
        <w:t>电力电缆1</w:t>
      </w:r>
      <w:r>
        <w:rPr>
          <w:rFonts w:ascii="仿宋" w:hAnsi="仿宋" w:eastAsia="仿宋"/>
          <w:sz w:val="28"/>
          <w:szCs w:val="28"/>
        </w:rPr>
        <w:t>2</w:t>
      </w:r>
      <w:r>
        <w:rPr>
          <w:rFonts w:hint="eastAsia" w:ascii="仿宋" w:hAnsi="仿宋" w:eastAsia="仿宋"/>
          <w:sz w:val="28"/>
          <w:szCs w:val="28"/>
        </w:rPr>
        <w:t>根；（5）直流屏系统4套；（6）低压柜（含电容柜）及出线4</w:t>
      </w:r>
      <w:r>
        <w:rPr>
          <w:rFonts w:ascii="仿宋" w:hAnsi="仿宋" w:eastAsia="仿宋"/>
          <w:sz w:val="28"/>
          <w:szCs w:val="28"/>
        </w:rPr>
        <w:t>9</w:t>
      </w:r>
      <w:r>
        <w:rPr>
          <w:rFonts w:hint="eastAsia" w:ascii="仿宋" w:hAnsi="仿宋" w:eastAsia="仿宋"/>
          <w:sz w:val="28"/>
          <w:szCs w:val="28"/>
        </w:rPr>
        <w:t>台；（7）低压封闭母线1</w:t>
      </w:r>
      <w:r>
        <w:rPr>
          <w:rFonts w:ascii="仿宋" w:hAnsi="仿宋" w:eastAsia="仿宋"/>
          <w:sz w:val="28"/>
          <w:szCs w:val="28"/>
        </w:rPr>
        <w:t>2</w:t>
      </w:r>
      <w:r>
        <w:rPr>
          <w:rFonts w:hint="eastAsia" w:ascii="仿宋" w:hAnsi="仿宋" w:eastAsia="仿宋"/>
          <w:sz w:val="28"/>
          <w:szCs w:val="28"/>
        </w:rPr>
        <w:t>段。</w:t>
      </w:r>
    </w:p>
    <w:p>
      <w:pPr>
        <w:pStyle w:val="56"/>
        <w:spacing w:after="0" w:line="500" w:lineRule="exact"/>
        <w:ind w:firstLine="560"/>
        <w:rPr>
          <w:rFonts w:ascii="仿宋" w:hAnsi="仿宋" w:eastAsia="仿宋"/>
          <w:sz w:val="28"/>
          <w:szCs w:val="28"/>
        </w:rPr>
      </w:pPr>
      <w:r>
        <w:rPr>
          <w:rFonts w:ascii="仿宋" w:hAnsi="仿宋" w:eastAsia="仿宋"/>
          <w:sz w:val="28"/>
          <w:szCs w:val="28"/>
        </w:rPr>
        <w:t xml:space="preserve">1.2.2 </w:t>
      </w:r>
      <w:r>
        <w:rPr>
          <w:rFonts w:hint="eastAsia" w:ascii="仿宋" w:hAnsi="仿宋" w:eastAsia="仿宋"/>
          <w:sz w:val="28"/>
          <w:szCs w:val="28"/>
        </w:rPr>
        <w:t>綦江校区设备、设施范围：实训楼配电室、教学楼配电室、体育馆配电室、一食堂配电室、体育馆开闭所。</w:t>
      </w:r>
    </w:p>
    <w:p>
      <w:pPr>
        <w:pStyle w:val="56"/>
        <w:spacing w:after="0" w:line="500" w:lineRule="exact"/>
        <w:ind w:firstLine="560"/>
        <w:rPr>
          <w:rFonts w:ascii="仿宋" w:hAnsi="仿宋" w:eastAsia="仿宋"/>
          <w:sz w:val="28"/>
          <w:szCs w:val="28"/>
        </w:rPr>
      </w:pPr>
      <w:r>
        <w:rPr>
          <w:rFonts w:hint="eastAsia" w:ascii="仿宋" w:hAnsi="仿宋" w:eastAsia="仿宋"/>
          <w:sz w:val="28"/>
          <w:szCs w:val="28"/>
        </w:rPr>
        <w:t>具体设备、设施：（1）高压柜31台；（2）变压器6台（800KVA 2台</w:t>
      </w:r>
      <w:r>
        <w:rPr>
          <w:rFonts w:hint="eastAsia" w:ascii="Calibri" w:hAnsi="Calibri" w:eastAsia="仿宋" w:cs="Calibri"/>
          <w:sz w:val="28"/>
          <w:szCs w:val="28"/>
        </w:rPr>
        <w:t>，</w:t>
      </w:r>
      <w:r>
        <w:rPr>
          <w:rFonts w:hint="eastAsia" w:ascii="仿宋" w:hAnsi="仿宋" w:eastAsia="仿宋"/>
          <w:sz w:val="28"/>
          <w:szCs w:val="28"/>
        </w:rPr>
        <w:t>1000KVA</w:t>
      </w:r>
      <w:r>
        <w:rPr>
          <w:rFonts w:ascii="Calibri" w:hAnsi="Calibri" w:eastAsia="仿宋" w:cs="Calibri"/>
          <w:sz w:val="28"/>
          <w:szCs w:val="28"/>
        </w:rPr>
        <w:t xml:space="preserve"> </w:t>
      </w:r>
      <w:r>
        <w:rPr>
          <w:rFonts w:hint="eastAsia" w:ascii="仿宋" w:hAnsi="仿宋" w:eastAsia="仿宋"/>
          <w:sz w:val="28"/>
          <w:szCs w:val="28"/>
        </w:rPr>
        <w:t>2台</w:t>
      </w:r>
      <w:r>
        <w:rPr>
          <w:rFonts w:hint="eastAsia" w:ascii="Calibri" w:hAnsi="Calibri" w:eastAsia="仿宋" w:cs="Calibri"/>
          <w:sz w:val="28"/>
          <w:szCs w:val="28"/>
        </w:rPr>
        <w:t>，</w:t>
      </w:r>
      <w:r>
        <w:rPr>
          <w:rFonts w:hint="eastAsia" w:ascii="仿宋" w:hAnsi="仿宋" w:eastAsia="仿宋"/>
          <w:sz w:val="28"/>
          <w:szCs w:val="28"/>
        </w:rPr>
        <w:t>1250KVA</w:t>
      </w:r>
      <w:r>
        <w:rPr>
          <w:rFonts w:ascii="Calibri" w:hAnsi="Calibri" w:eastAsia="仿宋" w:cs="Calibri"/>
          <w:sz w:val="28"/>
          <w:szCs w:val="28"/>
        </w:rPr>
        <w:t xml:space="preserve"> </w:t>
      </w:r>
      <w:r>
        <w:rPr>
          <w:rFonts w:hint="eastAsia" w:ascii="仿宋" w:hAnsi="仿宋" w:eastAsia="仿宋"/>
          <w:sz w:val="28"/>
          <w:szCs w:val="28"/>
        </w:rPr>
        <w:t>2台）；（3）继电保护、自动装置2</w:t>
      </w:r>
      <w:r>
        <w:rPr>
          <w:rFonts w:ascii="仿宋" w:hAnsi="仿宋" w:eastAsia="仿宋"/>
          <w:sz w:val="28"/>
          <w:szCs w:val="28"/>
        </w:rPr>
        <w:t>5</w:t>
      </w:r>
      <w:r>
        <w:rPr>
          <w:rFonts w:hint="eastAsia" w:ascii="仿宋" w:hAnsi="仿宋" w:eastAsia="仿宋"/>
          <w:sz w:val="28"/>
          <w:szCs w:val="28"/>
        </w:rPr>
        <w:t>台；（4）10KV 电力电缆7根；（5）直流屏系统5套；（6）低压柜（含电容柜）及出线56台；（7）低压封闭母线2段。</w:t>
      </w:r>
    </w:p>
    <w:p>
      <w:pPr>
        <w:spacing w:after="0" w:line="500" w:lineRule="exact"/>
        <w:rPr>
          <w:rFonts w:ascii="仿宋" w:hAnsi="仿宋" w:eastAsia="仿宋"/>
          <w:sz w:val="28"/>
          <w:szCs w:val="28"/>
        </w:rPr>
      </w:pPr>
      <w:r>
        <w:rPr>
          <w:rFonts w:hint="eastAsia" w:ascii="仿宋" w:hAnsi="仿宋" w:eastAsia="仿宋"/>
          <w:sz w:val="28"/>
          <w:szCs w:val="28"/>
        </w:rPr>
        <w:t>系统分项报价按提供询价表自行计算填写。</w:t>
      </w:r>
    </w:p>
    <w:p>
      <w:pPr>
        <w:spacing w:after="0" w:line="500" w:lineRule="exact"/>
        <w:rPr>
          <w:rFonts w:ascii="仿宋" w:hAnsi="仿宋" w:eastAsia="仿宋"/>
          <w:sz w:val="28"/>
          <w:szCs w:val="28"/>
        </w:rPr>
      </w:pPr>
      <w:r>
        <w:rPr>
          <w:rFonts w:hint="eastAsia" w:ascii="仿宋" w:hAnsi="仿宋" w:eastAsia="仿宋"/>
          <w:sz w:val="28"/>
          <w:szCs w:val="28"/>
        </w:rPr>
        <w:t>注:以上设备仅是配电房主要设备统计,为方便投标人报价参考使用,投标人应根据图纸并至现场踏勘实际情况进行响应报价。</w:t>
      </w:r>
    </w:p>
    <w:p>
      <w:pPr>
        <w:pStyle w:val="56"/>
        <w:spacing w:after="0" w:line="500" w:lineRule="exact"/>
        <w:ind w:firstLine="562"/>
        <w:rPr>
          <w:rFonts w:ascii="仿宋" w:hAnsi="仿宋" w:eastAsia="仿宋"/>
          <w:b/>
          <w:bCs/>
          <w:sz w:val="28"/>
          <w:szCs w:val="28"/>
        </w:rPr>
      </w:pPr>
      <w:r>
        <w:rPr>
          <w:rFonts w:hint="eastAsia" w:ascii="仿宋" w:hAnsi="仿宋" w:eastAsia="仿宋"/>
          <w:b/>
          <w:bCs/>
          <w:sz w:val="28"/>
          <w:szCs w:val="28"/>
        </w:rPr>
        <w:t>1</w:t>
      </w:r>
      <w:r>
        <w:rPr>
          <w:rFonts w:ascii="仿宋" w:hAnsi="仿宋" w:eastAsia="仿宋"/>
          <w:b/>
          <w:bCs/>
          <w:sz w:val="28"/>
          <w:szCs w:val="28"/>
        </w:rPr>
        <w:t xml:space="preserve">.2.3 </w:t>
      </w:r>
      <w:r>
        <w:rPr>
          <w:rFonts w:hint="eastAsia" w:ascii="仿宋" w:hAnsi="仿宋" w:eastAsia="仿宋"/>
          <w:b/>
          <w:bCs/>
          <w:sz w:val="28"/>
          <w:szCs w:val="28"/>
        </w:rPr>
        <w:t>维保服务期限：</w:t>
      </w:r>
      <w:r>
        <w:rPr>
          <w:rFonts w:hint="eastAsia" w:ascii="仿宋" w:hAnsi="仿宋" w:eastAsia="仿宋"/>
          <w:b/>
          <w:bCs/>
          <w:sz w:val="28"/>
          <w:szCs w:val="28"/>
          <w:u w:val="single"/>
        </w:rPr>
        <w:t>12个月</w:t>
      </w:r>
      <w:r>
        <w:rPr>
          <w:rFonts w:hint="eastAsia" w:ascii="仿宋" w:hAnsi="仿宋" w:eastAsia="仿宋"/>
          <w:b/>
          <w:bCs/>
          <w:sz w:val="28"/>
          <w:szCs w:val="28"/>
        </w:rPr>
        <w:t>。</w:t>
      </w:r>
    </w:p>
    <w:p>
      <w:pPr>
        <w:spacing w:after="0" w:line="500" w:lineRule="exact"/>
        <w:rPr>
          <w:rFonts w:ascii="仿宋" w:hAnsi="仿宋" w:eastAsia="仿宋"/>
          <w:b/>
          <w:bCs/>
          <w:sz w:val="28"/>
          <w:szCs w:val="28"/>
        </w:rPr>
      </w:pPr>
      <w:r>
        <w:rPr>
          <w:rFonts w:hint="eastAsia" w:ascii="仿宋" w:hAnsi="仿宋" w:eastAsia="仿宋"/>
          <w:b/>
          <w:bCs/>
          <w:sz w:val="28"/>
          <w:szCs w:val="28"/>
        </w:rPr>
        <w:t>二、维保服务内容及要求</w:t>
      </w:r>
    </w:p>
    <w:p>
      <w:pPr>
        <w:spacing w:after="0" w:line="500" w:lineRule="exact"/>
        <w:ind w:firstLine="562" w:firstLineChars="200"/>
        <w:rPr>
          <w:rFonts w:ascii="仿宋" w:hAnsi="仿宋" w:eastAsia="仿宋"/>
          <w:b/>
          <w:bCs/>
          <w:sz w:val="28"/>
          <w:szCs w:val="28"/>
        </w:rPr>
      </w:pPr>
      <w:r>
        <w:rPr>
          <w:rFonts w:ascii="仿宋" w:hAnsi="仿宋" w:eastAsia="仿宋"/>
          <w:b/>
          <w:bCs/>
          <w:sz w:val="28"/>
          <w:szCs w:val="28"/>
        </w:rPr>
        <w:t xml:space="preserve">2.1 </w:t>
      </w:r>
      <w:r>
        <w:rPr>
          <w:rFonts w:hint="eastAsia" w:ascii="仿宋" w:hAnsi="仿宋" w:eastAsia="仿宋"/>
          <w:b/>
          <w:bCs/>
          <w:sz w:val="28"/>
          <w:szCs w:val="28"/>
        </w:rPr>
        <w:t>服务内容</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甲乙双方约定，由乙方对配电房的安全、正常运行负责，主要服务内容包括配电房设备提供日常的维护、检修、保养和应急抢修；包括高压柜、真空断路器、避雷器、变压器、两段高低压母线及系统其它相关设备检测、检修、保养维护、接地检测、安全工器具检测、设备运行安全维护等工作。依照《电气设备预防性试验规程》（DL/T596-1996）及其他相关规定，对配电房电气设备进行预防性试验，完成年度保养项目，并做好维护保养记录，并向使用单位出具预防性试验报告、维保服务报告。对具有预见性易损坏配件及故障损坏部件的及时更换；配电房设备故障或事故的应急处置；配电房年度检验、维护、优化等相关工作。</w:t>
      </w:r>
    </w:p>
    <w:p>
      <w:pPr>
        <w:spacing w:after="0" w:line="500" w:lineRule="exact"/>
        <w:ind w:firstLine="562" w:firstLineChars="200"/>
        <w:rPr>
          <w:rFonts w:ascii="仿宋" w:hAnsi="仿宋" w:eastAsia="仿宋"/>
          <w:b/>
          <w:bCs/>
          <w:sz w:val="28"/>
          <w:szCs w:val="28"/>
        </w:rPr>
      </w:pPr>
      <w:r>
        <w:rPr>
          <w:rFonts w:ascii="仿宋" w:hAnsi="仿宋" w:eastAsia="仿宋"/>
          <w:b/>
          <w:bCs/>
          <w:sz w:val="28"/>
          <w:szCs w:val="28"/>
        </w:rPr>
        <w:t xml:space="preserve">2.1.1 </w:t>
      </w:r>
      <w:r>
        <w:rPr>
          <w:rFonts w:hint="eastAsia" w:ascii="仿宋" w:hAnsi="仿宋" w:eastAsia="仿宋"/>
          <w:b/>
          <w:bCs/>
          <w:sz w:val="28"/>
          <w:szCs w:val="28"/>
        </w:rPr>
        <w:t>高压配电柜</w:t>
      </w:r>
    </w:p>
    <w:p>
      <w:pPr>
        <w:spacing w:after="0"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 xml:space="preserve">每月一次对电气设备进行检查： </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（1）检查母线接头处有无变形，有无放电变黑痕迹，紧固连接螺栓，螺栓若有生锈应予以更换，确保接头连接紧密；检查母线上绝缘子有无松动和损坏。</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（2）柜内的机械闭锁，电气闭锁应动作准确、可靠，开关小车推拉应灵活，无卡阻现象。</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（3）柜体的接地应牢固良好，装有电器的可开启的门，应以裸铜软线与接地金属构件可靠地连接。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（4）柜体的正面各电器、端子排等应标明编号、名称、用途及操作位置，其标明的字迹应清晰、工整、不易脱落。</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（5）柜内二次回路的连接件均应采用铜质制品牢固紧接，绝缘体采用自熄性阻燃材料，并应清洁干燥。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（6）柜上装有继电保护装置设备或其它有接地要求的电器，其外壳应可靠接地。</w:t>
      </w:r>
    </w:p>
    <w:p>
      <w:pPr>
        <w:spacing w:after="0"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每季度一次对电气设备进行检查：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（1）高压柜必须清理干净，漆层完好，各构件间连接应牢固，接头温度应在允许范围。</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（2）柜体的接地应牢固良好，装有电器的可开启的门，应以裸铜软线与接地金属构件可靠地连接。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（3）柜体的正面各电器、端子排等应标明编号、名称、用途及操作位置，其标明的字迹应清晰、工整、不易脱落。</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（4）柜内二次回路的连接件均应铜质制品牢固紧接，绝缘件采用自熄性阻燃材料，并应清洁干燥。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（5）柜上装有继电保护装置设备或其它有接地要求的电器，其外壳应可靠接地。</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（6）重要开关断路器定期检测保护是否可靠动作是否灵敏。</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（7）后台远控定期测试是否数据正确。</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每年一次按预防性试验规程对高压柜进行预防性试验，将预防性试验报告交甲方存档，具体工作内容：</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（1）重复每季度的检查内容。</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（2）开关及一次电气设备必须作绝缘试验和耐压试验。</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（3）柜内的互感器作变比检查和测量绝缘电阻。</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（4）测量开关的分、合闸线圈直流电阻，开关接触电阻，动作电压和返回电压以及分闸时间。</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（5）校核继电保护装置的动作值、返回值、整定值。</w:t>
      </w:r>
    </w:p>
    <w:p>
      <w:pPr>
        <w:spacing w:after="0" w:line="500" w:lineRule="exact"/>
        <w:ind w:firstLine="562" w:firstLineChars="200"/>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.2</w:t>
      </w:r>
      <w:r>
        <w:rPr>
          <w:rFonts w:ascii="仿宋" w:hAnsi="仿宋" w:eastAsia="仿宋"/>
          <w:b/>
          <w:bCs/>
          <w:sz w:val="28"/>
          <w:szCs w:val="28"/>
        </w:rPr>
        <w:t xml:space="preserve"> </w:t>
      </w:r>
      <w:r>
        <w:rPr>
          <w:rFonts w:hint="eastAsia" w:ascii="仿宋" w:hAnsi="仿宋" w:eastAsia="仿宋"/>
          <w:b/>
          <w:bCs/>
          <w:sz w:val="28"/>
          <w:szCs w:val="28"/>
        </w:rPr>
        <w:t>直流屏（蓄电池）</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每月的工作内容：</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（1）对蓄电池进行恢复性的充放电。</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（2）巡看蓄电池的液面是否符合要求，有无漏液发生。</w:t>
      </w:r>
    </w:p>
    <w:p>
      <w:pPr>
        <w:spacing w:after="0"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每季度的工作内容：</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（1）清除屏内充电机及设备上的灰尘和蓄电池槽表面污垢，连接件上的氧化物。</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（2）对充电机、输出回路进行绝缘测试以及各种特性测试。</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每年的工作内容：重复每季度的工作内容。</w:t>
      </w:r>
    </w:p>
    <w:p>
      <w:pPr>
        <w:spacing w:after="0" w:line="500" w:lineRule="exact"/>
        <w:ind w:firstLine="562" w:firstLineChars="200"/>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.3</w:t>
      </w:r>
      <w:r>
        <w:rPr>
          <w:rFonts w:ascii="仿宋" w:hAnsi="仿宋" w:eastAsia="仿宋"/>
          <w:b/>
          <w:bCs/>
          <w:sz w:val="28"/>
          <w:szCs w:val="28"/>
        </w:rPr>
        <w:t xml:space="preserve"> </w:t>
      </w:r>
      <w:r>
        <w:rPr>
          <w:rFonts w:hint="eastAsia" w:ascii="仿宋" w:hAnsi="仿宋" w:eastAsia="仿宋"/>
          <w:b/>
          <w:bCs/>
          <w:sz w:val="28"/>
          <w:szCs w:val="28"/>
        </w:rPr>
        <w:t>变压器</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每月一次对变压器进行检查：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（1）变压器套管是否清洁，有无破损、裂纹和放电痕迹。</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（2）变压器零部件必须无损伤或移位，接线是否松动、断裂、绝缘件和线圈是否有破损，是否有脏物或异物等。</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（3）检查风机、空调、温控设备等能否正常运行。</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（4）变压器的主附设备的外壳接地是否良好。</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每季度一次对变压器进行检查：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（1）重复每月检查的内容；</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（2）高低压电缆头的接触情况，螺丝有无松动，接头是否过热。</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（3）检查所有的紧固件、连接件、标准件是否松动，并重新紧固一次。</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（4）检查变压器的箱体和铁芯是否可靠接地，穿心螺杆的绝缘是否良好。</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（5）套管密封、顶部连接片、密封衬垫的检查，瓷绝缘等的检查和清扫。</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（6）各种保护装置、测量装置及操作控制箱的检修、试验。</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每年一次进行年检：</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（1）重复每季度一次检查的内容。</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（2）进行一次下列预防性试验。</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①测量变压器绕组直流电阻，测量前绕组应充分放电。</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②测量变压器绕组的绝缘电阻，采用1000V兆欧表进行测量。</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③进行变压器绕组的交流耐压试验。</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④在额定电压下对变压器进行冲击合闸试验。</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⑤按标准要求完成避雷器相应测试。</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⑥对变压器柜体及柜内相关设施清洁保养、接头紧固等保养。</w:t>
      </w:r>
    </w:p>
    <w:p>
      <w:pPr>
        <w:spacing w:after="0" w:line="500" w:lineRule="exact"/>
        <w:ind w:firstLine="562" w:firstLineChars="200"/>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.4</w:t>
      </w:r>
      <w:r>
        <w:rPr>
          <w:rFonts w:ascii="仿宋" w:hAnsi="仿宋" w:eastAsia="仿宋"/>
          <w:b/>
          <w:bCs/>
          <w:sz w:val="28"/>
          <w:szCs w:val="28"/>
        </w:rPr>
        <w:t xml:space="preserve"> </w:t>
      </w:r>
      <w:r>
        <w:rPr>
          <w:rFonts w:hint="eastAsia" w:ascii="仿宋" w:hAnsi="仿宋" w:eastAsia="仿宋"/>
          <w:b/>
          <w:bCs/>
          <w:sz w:val="28"/>
          <w:szCs w:val="28"/>
        </w:rPr>
        <w:t>低压配电柜</w:t>
      </w:r>
    </w:p>
    <w:p>
      <w:pPr>
        <w:spacing w:after="0"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每月一次对电气设备进行检查：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（1）观察母排的发热程度，示温蜡片有否熔化，各连接螺丝有否松动。</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（2）测量电容柜的温度，检查容器的外观有无变形，熔断器有无熔断，运行时应无任何声音。</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（3）低压柜的机械闭锁、电气闭锁应动作准确、可靠。</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（4）配电柜抽屉推拉应灵活、无卡阻现象。</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每季度一次对电气设备进行清理、检查：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（1）低压柜内设备与各构件间连接应牢固，接头温度应在允许范围。</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（2）低压柜的机械闭锁、电气闭锁应动作准确、可靠。</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（3）配电柜抽屉推拉应灵活、无卡阻现象。</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（4）柜的固定及接地可靠，漆层应完好、清洁整齐。</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每年一次年检内容：</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（1）重复每季度的清理检查。</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（2）按预防性试验规程对设备进行预防性试验，并将预防性试验报告交业主存档。</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（3）进行一次低压柜清洁、保养。</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①低压柜每段母线绝缘电阻不应小于0.5MΩ，电力线路绝缘电阻不小于0.5MΩ，试验采用500V兆欧表。</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②加1000V进行交流耐压试验。</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③校核仪表、继电器的动作值和返回值。</w:t>
      </w:r>
    </w:p>
    <w:p>
      <w:pPr>
        <w:spacing w:after="0" w:line="500" w:lineRule="exact"/>
        <w:ind w:firstLine="562" w:firstLineChars="200"/>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.5</w:t>
      </w:r>
      <w:r>
        <w:rPr>
          <w:rFonts w:ascii="仿宋" w:hAnsi="仿宋" w:eastAsia="仿宋"/>
          <w:b/>
          <w:bCs/>
          <w:sz w:val="28"/>
          <w:szCs w:val="28"/>
        </w:rPr>
        <w:t xml:space="preserve"> </w:t>
      </w:r>
      <w:r>
        <w:rPr>
          <w:rFonts w:hint="eastAsia" w:ascii="仿宋" w:hAnsi="仿宋" w:eastAsia="仿宋"/>
          <w:b/>
          <w:bCs/>
          <w:sz w:val="28"/>
          <w:szCs w:val="28"/>
        </w:rPr>
        <w:t>10kV高压电缆保养</w:t>
      </w:r>
    </w:p>
    <w:p>
      <w:pPr>
        <w:spacing w:after="0"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高压电缆的清尘：检查电缆终端头有无松动、发热变色及受损现象。</w:t>
      </w:r>
    </w:p>
    <w:p>
      <w:pPr>
        <w:spacing w:after="0"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用无水酒精清洗电缆头；检查电缆外层有无破损现象。</w:t>
      </w:r>
    </w:p>
    <w:p>
      <w:pPr>
        <w:spacing w:after="0"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检查电缆头有无放电痕迹。</w:t>
      </w:r>
    </w:p>
    <w:p>
      <w:pPr>
        <w:spacing w:after="0" w:line="5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检查电缆头三相有无交叉排列。</w:t>
      </w:r>
    </w:p>
    <w:p>
      <w:pPr>
        <w:spacing w:after="0" w:line="5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电缆头密封检查。</w:t>
      </w:r>
    </w:p>
    <w:p>
      <w:pPr>
        <w:spacing w:after="0" w:line="5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电缆头与设备接触是否良好。</w:t>
      </w:r>
    </w:p>
    <w:p>
      <w:pPr>
        <w:spacing w:after="0" w:line="5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电缆绝缘电阻测量。</w:t>
      </w:r>
    </w:p>
    <w:p>
      <w:pPr>
        <w:spacing w:after="0" w:line="50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电缆直流耐压及泄漏电流试验。</w:t>
      </w:r>
    </w:p>
    <w:p>
      <w:pPr>
        <w:spacing w:after="0" w:line="500" w:lineRule="exact"/>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电缆铠装接地线的检查。</w:t>
      </w:r>
    </w:p>
    <w:p>
      <w:pPr>
        <w:spacing w:after="0" w:line="500" w:lineRule="exact"/>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做好检修保养记录。</w:t>
      </w:r>
    </w:p>
    <w:p>
      <w:pPr>
        <w:spacing w:after="0" w:line="500" w:lineRule="exact"/>
        <w:ind w:firstLine="562" w:firstLineChars="200"/>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.6</w:t>
      </w:r>
      <w:r>
        <w:rPr>
          <w:rFonts w:ascii="仿宋" w:hAnsi="仿宋" w:eastAsia="仿宋"/>
          <w:b/>
          <w:bCs/>
          <w:sz w:val="28"/>
          <w:szCs w:val="28"/>
        </w:rPr>
        <w:t xml:space="preserve"> </w:t>
      </w:r>
      <w:r>
        <w:rPr>
          <w:rFonts w:hint="eastAsia" w:ascii="仿宋" w:hAnsi="仿宋" w:eastAsia="仿宋"/>
          <w:b/>
          <w:bCs/>
          <w:sz w:val="28"/>
          <w:szCs w:val="28"/>
        </w:rPr>
        <w:t>接地系统</w:t>
      </w:r>
    </w:p>
    <w:p>
      <w:pPr>
        <w:spacing w:after="0"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每月及每季度检查地网有无脱漆、锈蚀、设备各接地处、导体搭接处是否牢固。</w:t>
      </w:r>
    </w:p>
    <w:p>
      <w:pPr>
        <w:spacing w:after="0"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每年进行接地系统的接地电阻测量。</w:t>
      </w:r>
    </w:p>
    <w:p>
      <w:pPr>
        <w:spacing w:after="0" w:line="500" w:lineRule="exact"/>
        <w:ind w:firstLine="562" w:firstLineChars="200"/>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.7</w:t>
      </w:r>
      <w:r>
        <w:rPr>
          <w:rFonts w:ascii="仿宋" w:hAnsi="仿宋" w:eastAsia="仿宋"/>
          <w:b/>
          <w:bCs/>
          <w:sz w:val="28"/>
          <w:szCs w:val="28"/>
        </w:rPr>
        <w:t xml:space="preserve"> </w:t>
      </w:r>
      <w:r>
        <w:rPr>
          <w:rFonts w:hint="eastAsia" w:ascii="仿宋" w:hAnsi="仿宋" w:eastAsia="仿宋"/>
          <w:b/>
          <w:bCs/>
          <w:sz w:val="28"/>
          <w:szCs w:val="28"/>
        </w:rPr>
        <w:t>其他</w:t>
      </w:r>
    </w:p>
    <w:p>
      <w:pPr>
        <w:spacing w:after="0"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检查及维护配电房照明和防潮灯及通风机，确保正常使用。</w:t>
      </w:r>
    </w:p>
    <w:p>
      <w:pPr>
        <w:spacing w:after="0"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检查及维护配电房屋面有否漏水，电缆沟是否积水，门窗有否破损，确保正常使用。</w:t>
      </w:r>
    </w:p>
    <w:p>
      <w:pPr>
        <w:spacing w:after="0"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检查及维护防鼠挡板是否完整，房内孔洞有否堵死，确保正常使用。</w:t>
      </w:r>
    </w:p>
    <w:p>
      <w:pPr>
        <w:spacing w:after="0" w:line="5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检查及维护配电房门外通道是否畅顺，有否被堵现象，确保正常使用。</w:t>
      </w:r>
    </w:p>
    <w:p>
      <w:pPr>
        <w:spacing w:after="0" w:line="500" w:lineRule="exact"/>
        <w:ind w:firstLine="562" w:firstLineChars="200"/>
        <w:rPr>
          <w:rFonts w:ascii="仿宋" w:hAnsi="仿宋" w:eastAsia="仿宋"/>
          <w:b/>
          <w:bCs/>
          <w:sz w:val="28"/>
          <w:szCs w:val="28"/>
        </w:rPr>
      </w:pPr>
      <w:r>
        <w:rPr>
          <w:rFonts w:hint="eastAsia" w:ascii="仿宋" w:hAnsi="仿宋" w:eastAsia="仿宋"/>
          <w:b/>
          <w:bCs/>
          <w:sz w:val="28"/>
          <w:szCs w:val="28"/>
        </w:rPr>
        <w:t>2.2维保要求</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为保障配电房的安全运行及对设备运行情况，及时了解、消除故障隐患、促进安全生产，必需对高/低压柜、直流屏、变压器、接地系统等设备和装置进行每月巡查、每季度进行检查、每学期假期对变压器、低压配电柜清理及检查、每年进行年检，具体内容如下：</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1.乙方月检、季检、年检等计划均需提前一个月报停电维保计划，并安排在周末或甲方方便停电的节假日或假期。</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2.故障抢修为在合同期间的设备事故或设备不正常运行时必要的紧急情况处理。</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3.迎峰度夏系统全面检测维护是指夏天用电高峰来临前，预先对配电设备提前预防性测试、保养。</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4.春节前系统全面检测维护是指年底对配电设备提前预防性测试、维护、保养，确保重大节假日及次年安全运行。</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乙方在做检修维护保养前安排准备工程技术人员、仪器仪表、机具设备。</w:t>
      </w:r>
    </w:p>
    <w:p>
      <w:pPr>
        <w:spacing w:after="0" w:line="50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所需更换配件均由乙方及时提供配件或者设备需用计划、报价及采购方案，乙方审核确认数量及价格后，由甲方定夺是否由乙方采购，在得到甲方的书面批示后应积极安排采购更换。</w:t>
      </w:r>
    </w:p>
    <w:p>
      <w:pPr>
        <w:spacing w:after="0" w:line="500" w:lineRule="exact"/>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检修时间由甲方根据情况分期、分段进行，合理安排。</w:t>
      </w:r>
    </w:p>
    <w:p>
      <w:pPr>
        <w:spacing w:after="0" w:line="500" w:lineRule="exact"/>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总的原则是对于出现的应急故障或者平时例行维修，都需及时提前与甲方管理处沟通，避免沟通不及时造成用户投诉。</w:t>
      </w:r>
    </w:p>
    <w:p>
      <w:pPr>
        <w:spacing w:after="0" w:line="500" w:lineRule="exact"/>
        <w:ind w:firstLine="562" w:firstLineChars="200"/>
        <w:rPr>
          <w:rFonts w:ascii="仿宋" w:hAnsi="仿宋" w:eastAsia="仿宋"/>
          <w:b/>
          <w:bCs/>
          <w:sz w:val="28"/>
          <w:szCs w:val="28"/>
        </w:rPr>
      </w:pPr>
      <w:r>
        <w:rPr>
          <w:rFonts w:hint="eastAsia" w:ascii="仿宋" w:hAnsi="仿宋" w:eastAsia="仿宋"/>
          <w:b/>
          <w:bCs/>
          <w:sz w:val="28"/>
          <w:szCs w:val="28"/>
        </w:rPr>
        <w:t>2</w:t>
      </w:r>
      <w:r>
        <w:rPr>
          <w:rFonts w:ascii="仿宋" w:hAnsi="仿宋" w:eastAsia="仿宋"/>
          <w:b/>
          <w:bCs/>
          <w:sz w:val="28"/>
          <w:szCs w:val="28"/>
        </w:rPr>
        <w:t>.3</w:t>
      </w:r>
      <w:r>
        <w:rPr>
          <w:rFonts w:hint="eastAsia" w:ascii="仿宋" w:hAnsi="仿宋" w:eastAsia="仿宋"/>
          <w:b/>
          <w:bCs/>
          <w:sz w:val="28"/>
          <w:szCs w:val="28"/>
        </w:rPr>
        <w:t>维保单位责任</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1、乙方每次检测完成后应向甲方提供完整有效的预防性试验报告。</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2、为保证维保工作的正常运行，乙方应长期备有用于系统维保所需的备品备件及周转设备。</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3、接到甲方配电房故障通知后，乙方应迅速组织维护人员确保在最短时间内对配电设施进行排除、维保。乙方全年安排技术人员24小时待命，并确定24小时维保热线，在接到甲方保障通知后，应在30分钟内响应，1小时内到达现场（綦江校区3小时到达现场）进行分析、处理，若无故不能准时达到，每次扣罚200元人民币。乙方若未能在规定的时间内赶到现场达到三次的将自动解除合同，视同为乙方违约并赔付甲方的损失。</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4、重大节日（五一、十一、元旦、春节）放假前必须进行检查、维护和保养，保证所维保配电房处于正常状态。</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5、乙方在维保中出现的问题，经甲方三次指出后，乙方若不能解决、排除，甲方有权聘请第三方修理，其费用由乙方负责。</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6、乙方必须开具合法、有效的增值税普通发票，发票内容为维保服务类相关费用。</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7、维保结束后乙方负责与下一任维保单位的交接工作。</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8、乙方在维保过程中发生的各种安全事故（包括第三方的人员和设施事故），其后果完全由乙方负责。</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9、每月按合同条款约定内容进行检查，出具书面维保报告和记录，检查记录由所在物业管理单位签字确认后，及时将维保、整改意见或方案书面给甲方。乙方每年向甲方提交一份经物业管理单位签字后的书面报告，若不能按要求出具书面报告，一次扣罚500元人民币。</w:t>
      </w:r>
    </w:p>
    <w:p>
      <w:pPr>
        <w:pStyle w:val="56"/>
        <w:widowControl w:val="0"/>
        <w:spacing w:after="0" w:line="500" w:lineRule="exact"/>
        <w:ind w:firstLine="560"/>
        <w:rPr>
          <w:rFonts w:hint="eastAsia" w:ascii="仿宋" w:hAnsi="仿宋" w:eastAsia="仿宋"/>
          <w:color w:val="auto"/>
          <w:sz w:val="28"/>
          <w:szCs w:val="28"/>
        </w:rPr>
      </w:pPr>
      <w:r>
        <w:rPr>
          <w:rFonts w:hint="eastAsia" w:ascii="仿宋" w:hAnsi="仿宋" w:eastAsia="仿宋"/>
          <w:sz w:val="28"/>
          <w:szCs w:val="28"/>
        </w:rPr>
        <w:t>10、乙方在维保过程中对甲方设备有故意损害现象的应照价赔偿或及时修复。</w:t>
      </w:r>
    </w:p>
    <w:p>
      <w:pPr>
        <w:pStyle w:val="56"/>
        <w:widowControl w:val="0"/>
        <w:spacing w:after="0" w:line="500" w:lineRule="exact"/>
        <w:ind w:firstLine="560"/>
        <w:rPr>
          <w:rFonts w:hint="eastAsia" w:ascii="仿宋" w:hAnsi="仿宋" w:eastAsia="仿宋"/>
          <w:color w:val="auto"/>
          <w:sz w:val="28"/>
          <w:szCs w:val="28"/>
        </w:rPr>
        <w:sectPr>
          <w:headerReference r:id="rId8" w:type="first"/>
          <w:headerReference r:id="rId7" w:type="default"/>
          <w:pgSz w:w="11906" w:h="16838"/>
          <w:pgMar w:top="1440" w:right="1418" w:bottom="1440" w:left="1134" w:header="567" w:footer="227" w:gutter="0"/>
          <w:cols w:space="425" w:num="1"/>
          <w:titlePg/>
          <w:docGrid w:type="lines" w:linePitch="312" w:charSpace="0"/>
        </w:sectPr>
      </w:pPr>
    </w:p>
    <w:p>
      <w:pPr>
        <w:spacing w:after="0" w:line="240" w:lineRule="auto"/>
        <w:ind w:left="780"/>
        <w:jc w:val="center"/>
        <w:rPr>
          <w:rFonts w:ascii="仿宋" w:hAnsi="仿宋" w:eastAsia="仿宋" w:cs="宋体"/>
          <w:b/>
          <w:bCs/>
          <w:color w:val="auto"/>
          <w:sz w:val="36"/>
          <w:szCs w:val="36"/>
        </w:rPr>
      </w:pPr>
      <w:r>
        <w:rPr>
          <w:rFonts w:hint="eastAsia" w:ascii="仿宋" w:hAnsi="仿宋" w:eastAsia="仿宋" w:cs="宋体"/>
          <w:b/>
          <w:bCs/>
          <w:color w:val="auto"/>
          <w:sz w:val="36"/>
          <w:szCs w:val="36"/>
        </w:rPr>
        <w:t>202</w:t>
      </w:r>
      <w:r>
        <w:rPr>
          <w:rFonts w:ascii="仿宋" w:hAnsi="仿宋" w:eastAsia="仿宋" w:cs="宋体"/>
          <w:b/>
          <w:bCs/>
          <w:color w:val="auto"/>
          <w:sz w:val="36"/>
          <w:szCs w:val="36"/>
        </w:rPr>
        <w:t>1</w:t>
      </w:r>
      <w:r>
        <w:rPr>
          <w:rFonts w:hint="eastAsia" w:ascii="仿宋" w:hAnsi="仿宋" w:eastAsia="仿宋" w:cs="宋体"/>
          <w:b/>
          <w:bCs/>
          <w:color w:val="auto"/>
          <w:sz w:val="36"/>
          <w:szCs w:val="36"/>
        </w:rPr>
        <w:t>年</w:t>
      </w:r>
      <w:r>
        <w:rPr>
          <w:rFonts w:hint="eastAsia" w:ascii="仿宋" w:hAnsi="仿宋" w:eastAsia="仿宋" w:cs="宋体"/>
          <w:b/>
          <w:bCs/>
          <w:color w:val="auto"/>
          <w:sz w:val="36"/>
          <w:szCs w:val="36"/>
          <w:lang w:eastAsia="zh-CN"/>
        </w:rPr>
        <w:t>高低压配电房供配点维保报价清单</w:t>
      </w:r>
    </w:p>
    <w:p>
      <w:pPr>
        <w:spacing w:after="0" w:line="240" w:lineRule="auto"/>
        <w:ind w:left="780"/>
        <w:jc w:val="left"/>
        <w:rPr>
          <w:rFonts w:hint="eastAsia" w:ascii="仿宋" w:hAnsi="仿宋" w:eastAsia="仿宋" w:cs="宋体"/>
          <w:b/>
          <w:bCs/>
          <w:color w:val="000000"/>
          <w:sz w:val="24"/>
          <w:szCs w:val="24"/>
          <w:lang w:val="en-US" w:eastAsia="zh-CN"/>
        </w:rPr>
      </w:pPr>
      <w:r>
        <w:rPr>
          <w:rFonts w:hint="eastAsia" w:ascii="仿宋" w:hAnsi="仿宋" w:eastAsia="仿宋" w:cs="宋体"/>
          <w:b/>
          <w:bCs/>
          <w:color w:val="auto"/>
          <w:sz w:val="24"/>
          <w:szCs w:val="24"/>
        </w:rPr>
        <w:t>项目名称：202</w:t>
      </w:r>
      <w:r>
        <w:rPr>
          <w:rFonts w:ascii="仿宋" w:hAnsi="仿宋" w:eastAsia="仿宋" w:cs="宋体"/>
          <w:b/>
          <w:bCs/>
          <w:color w:val="auto"/>
          <w:sz w:val="24"/>
          <w:szCs w:val="24"/>
        </w:rPr>
        <w:t>1</w:t>
      </w:r>
      <w:r>
        <w:rPr>
          <w:rFonts w:hint="eastAsia" w:ascii="仿宋" w:hAnsi="仿宋" w:eastAsia="仿宋" w:cs="宋体"/>
          <w:b/>
          <w:bCs/>
          <w:color w:val="auto"/>
          <w:sz w:val="24"/>
          <w:szCs w:val="24"/>
        </w:rPr>
        <w:t>年</w:t>
      </w:r>
      <w:r>
        <w:rPr>
          <w:rFonts w:hint="eastAsia" w:ascii="仿宋" w:hAnsi="仿宋" w:eastAsia="仿宋" w:cs="宋体"/>
          <w:b/>
          <w:bCs/>
          <w:color w:val="000000"/>
          <w:sz w:val="24"/>
          <w:szCs w:val="24"/>
        </w:rPr>
        <w:t>高低压配电房供配点维保</w:t>
      </w:r>
      <w:r>
        <w:rPr>
          <w:rFonts w:hint="eastAsia" w:ascii="仿宋" w:hAnsi="仿宋" w:eastAsia="仿宋" w:cs="宋体"/>
          <w:b/>
          <w:bCs/>
          <w:color w:val="000000"/>
          <w:sz w:val="24"/>
          <w:szCs w:val="24"/>
          <w:lang w:val="en-US" w:eastAsia="zh-CN"/>
        </w:rPr>
        <w:t>项目</w:t>
      </w:r>
    </w:p>
    <w:p>
      <w:pPr>
        <w:spacing w:after="0" w:line="240" w:lineRule="auto"/>
        <w:ind w:left="780"/>
        <w:jc w:val="left"/>
        <w:rPr>
          <w:rFonts w:ascii="仿宋" w:hAnsi="仿宋" w:eastAsia="仿宋" w:cs="宋体"/>
          <w:b/>
          <w:bCs/>
          <w:color w:val="auto"/>
          <w:sz w:val="24"/>
          <w:szCs w:val="24"/>
        </w:rPr>
      </w:pPr>
      <w:r>
        <w:rPr>
          <w:rFonts w:hint="eastAsia" w:ascii="仿宋" w:hAnsi="仿宋" w:eastAsia="仿宋" w:cs="宋体"/>
          <w:b/>
          <w:bCs/>
          <w:color w:val="auto"/>
          <w:sz w:val="24"/>
          <w:szCs w:val="24"/>
        </w:rPr>
        <w:t>项目地点：渝北校区、綦江校区</w:t>
      </w:r>
    </w:p>
    <w:tbl>
      <w:tblPr>
        <w:tblStyle w:val="26"/>
        <w:tblpPr w:leftFromText="180" w:rightFromText="180" w:vertAnchor="text" w:horzAnchor="margin" w:tblpX="-147" w:tblpY="88"/>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980"/>
        <w:gridCol w:w="1560"/>
        <w:gridCol w:w="900"/>
        <w:gridCol w:w="974"/>
        <w:gridCol w:w="1441"/>
        <w:gridCol w:w="100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序号</w:t>
            </w:r>
          </w:p>
        </w:tc>
        <w:tc>
          <w:tcPr>
            <w:tcW w:w="298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项目</w:t>
            </w: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规格</w:t>
            </w:r>
          </w:p>
        </w:tc>
        <w:tc>
          <w:tcPr>
            <w:tcW w:w="9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单位</w:t>
            </w: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数量</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单价（元）</w:t>
            </w: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金额</w:t>
            </w: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1</w:t>
            </w:r>
          </w:p>
        </w:tc>
        <w:tc>
          <w:tcPr>
            <w:tcW w:w="298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高压柜</w:t>
            </w: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0KV</w:t>
            </w:r>
          </w:p>
        </w:tc>
        <w:tc>
          <w:tcPr>
            <w:tcW w:w="9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台</w:t>
            </w: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ascii="仿宋" w:hAnsi="仿宋" w:eastAsia="仿宋" w:cs="宋体"/>
                <w:color w:val="000000"/>
              </w:rPr>
              <w:t>55</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渝北2</w:t>
            </w:r>
            <w:r>
              <w:rPr>
                <w:rFonts w:ascii="仿宋" w:hAnsi="仿宋" w:eastAsia="仿宋" w:cs="宋体"/>
                <w:color w:val="000000"/>
              </w:rPr>
              <w:t>4</w:t>
            </w:r>
            <w:r>
              <w:rPr>
                <w:rFonts w:hint="eastAsia" w:ascii="仿宋" w:hAnsi="仿宋" w:eastAsia="仿宋" w:cs="宋体"/>
                <w:color w:val="000000"/>
              </w:rPr>
              <w:t>台、綦江3</w:t>
            </w:r>
            <w:r>
              <w:rPr>
                <w:rFonts w:ascii="仿宋" w:hAnsi="仿宋" w:eastAsia="仿宋" w:cs="宋体"/>
                <w:color w:val="000000"/>
              </w:rPr>
              <w:t>1</w:t>
            </w:r>
            <w:r>
              <w:rPr>
                <w:rFonts w:hint="eastAsia" w:ascii="仿宋" w:hAnsi="仿宋" w:eastAsia="仿宋" w:cs="宋体"/>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vMerge w:val="restart"/>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2</w:t>
            </w:r>
          </w:p>
        </w:tc>
        <w:tc>
          <w:tcPr>
            <w:tcW w:w="2980" w:type="dxa"/>
            <w:vMerge w:val="restart"/>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变压器</w:t>
            </w: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8</w:t>
            </w:r>
            <w:r>
              <w:rPr>
                <w:rFonts w:ascii="仿宋" w:hAnsi="仿宋" w:eastAsia="仿宋" w:cs="宋体"/>
                <w:color w:val="000000"/>
              </w:rPr>
              <w:t>00KVA</w:t>
            </w:r>
          </w:p>
        </w:tc>
        <w:tc>
          <w:tcPr>
            <w:tcW w:w="900" w:type="dxa"/>
            <w:vMerge w:val="restart"/>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台</w:t>
            </w: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ascii="仿宋" w:hAnsi="仿宋" w:eastAsia="仿宋" w:cs="宋体"/>
                <w:color w:val="000000"/>
              </w:rPr>
              <w:t>4</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渝北、綦江各2台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vMerge w:val="continue"/>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2980" w:type="dxa"/>
            <w:vMerge w:val="continue"/>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000KVA</w:t>
            </w:r>
          </w:p>
        </w:tc>
        <w:tc>
          <w:tcPr>
            <w:tcW w:w="900" w:type="dxa"/>
            <w:vMerge w:val="continue"/>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ascii="仿宋" w:hAnsi="仿宋" w:eastAsia="仿宋" w:cs="宋体"/>
                <w:color w:val="000000"/>
              </w:rPr>
              <w:t>4</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渝北、綦江各2台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vMerge w:val="continue"/>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2980" w:type="dxa"/>
            <w:vMerge w:val="continue"/>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250KVA</w:t>
            </w:r>
          </w:p>
        </w:tc>
        <w:tc>
          <w:tcPr>
            <w:tcW w:w="900" w:type="dxa"/>
            <w:vMerge w:val="continue"/>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ascii="仿宋" w:hAnsi="仿宋" w:eastAsia="仿宋" w:cs="宋体"/>
                <w:color w:val="000000"/>
              </w:rPr>
              <w:t>5</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渝北3台、綦江2台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3</w:t>
            </w:r>
          </w:p>
        </w:tc>
        <w:tc>
          <w:tcPr>
            <w:tcW w:w="298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继电保护、自动装置</w:t>
            </w: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9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台</w:t>
            </w: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ascii="仿宋" w:hAnsi="仿宋" w:eastAsia="仿宋" w:cs="宋体"/>
                <w:color w:val="000000"/>
              </w:rPr>
              <w:t>50</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渝北、綦江各2</w:t>
            </w:r>
            <w:r>
              <w:rPr>
                <w:rFonts w:ascii="仿宋" w:hAnsi="仿宋" w:eastAsia="仿宋" w:cs="宋体"/>
                <w:color w:val="000000"/>
              </w:rPr>
              <w:t>5</w:t>
            </w:r>
            <w:r>
              <w:rPr>
                <w:rFonts w:hint="eastAsia" w:ascii="仿宋" w:hAnsi="仿宋" w:eastAsia="仿宋" w:cs="宋体"/>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4</w:t>
            </w:r>
          </w:p>
        </w:tc>
        <w:tc>
          <w:tcPr>
            <w:tcW w:w="298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电力电缆</w:t>
            </w: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ascii="仿宋" w:hAnsi="仿宋" w:eastAsia="仿宋" w:cs="宋体"/>
                <w:color w:val="000000"/>
              </w:rPr>
              <w:t>10KV</w:t>
            </w:r>
          </w:p>
        </w:tc>
        <w:tc>
          <w:tcPr>
            <w:tcW w:w="9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根</w:t>
            </w: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9</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渝北1</w:t>
            </w:r>
            <w:r>
              <w:rPr>
                <w:rFonts w:ascii="仿宋" w:hAnsi="仿宋" w:eastAsia="仿宋" w:cs="宋体"/>
                <w:color w:val="000000"/>
              </w:rPr>
              <w:t>2</w:t>
            </w:r>
            <w:r>
              <w:rPr>
                <w:rFonts w:hint="eastAsia" w:ascii="仿宋" w:hAnsi="仿宋" w:eastAsia="仿宋" w:cs="宋体"/>
                <w:color w:val="000000"/>
              </w:rPr>
              <w:t>根、綦江7根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5</w:t>
            </w:r>
          </w:p>
        </w:tc>
        <w:tc>
          <w:tcPr>
            <w:tcW w:w="298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直流屏系统</w:t>
            </w: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0KV</w:t>
            </w:r>
          </w:p>
        </w:tc>
        <w:tc>
          <w:tcPr>
            <w:tcW w:w="9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套</w:t>
            </w: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9</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渝北4套、綦江5套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6</w:t>
            </w:r>
          </w:p>
        </w:tc>
        <w:tc>
          <w:tcPr>
            <w:tcW w:w="298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低压柜（含电容柜）</w:t>
            </w: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9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台</w:t>
            </w: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05</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渝北4</w:t>
            </w:r>
            <w:r>
              <w:rPr>
                <w:rFonts w:ascii="仿宋" w:hAnsi="仿宋" w:eastAsia="仿宋" w:cs="宋体"/>
                <w:color w:val="000000"/>
              </w:rPr>
              <w:t>9</w:t>
            </w:r>
            <w:r>
              <w:rPr>
                <w:rFonts w:hint="eastAsia" w:ascii="仿宋" w:hAnsi="仿宋" w:eastAsia="仿宋" w:cs="宋体"/>
                <w:color w:val="000000"/>
              </w:rPr>
              <w:t>台、綦江5</w:t>
            </w:r>
            <w:r>
              <w:rPr>
                <w:rFonts w:ascii="仿宋" w:hAnsi="仿宋" w:eastAsia="仿宋" w:cs="宋体"/>
                <w:color w:val="000000"/>
              </w:rPr>
              <w:t>6</w:t>
            </w:r>
            <w:r>
              <w:rPr>
                <w:rFonts w:hint="eastAsia" w:ascii="仿宋" w:hAnsi="仿宋" w:eastAsia="仿宋" w:cs="宋体"/>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7</w:t>
            </w:r>
          </w:p>
        </w:tc>
        <w:tc>
          <w:tcPr>
            <w:tcW w:w="298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低压封闭母线</w:t>
            </w: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9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段</w:t>
            </w: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4</w:t>
            </w: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渝北1</w:t>
            </w:r>
            <w:r>
              <w:rPr>
                <w:rFonts w:ascii="仿宋" w:hAnsi="仿宋" w:eastAsia="仿宋" w:cs="宋体"/>
                <w:color w:val="000000"/>
              </w:rPr>
              <w:t>2</w:t>
            </w:r>
            <w:r>
              <w:rPr>
                <w:rFonts w:hint="eastAsia" w:ascii="仿宋" w:hAnsi="仿宋" w:eastAsia="仿宋" w:cs="宋体"/>
                <w:color w:val="000000"/>
              </w:rPr>
              <w:t>段、綦江2段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9</w:t>
            </w:r>
          </w:p>
        </w:tc>
        <w:tc>
          <w:tcPr>
            <w:tcW w:w="298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税金</w:t>
            </w:r>
          </w:p>
        </w:tc>
        <w:tc>
          <w:tcPr>
            <w:tcW w:w="156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9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w:t>
            </w:r>
          </w:p>
        </w:tc>
        <w:tc>
          <w:tcPr>
            <w:tcW w:w="974"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441"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1005"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1" w:type="dxa"/>
            <w:gridSpan w:val="5"/>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r>
              <w:rPr>
                <w:rFonts w:hint="eastAsia" w:ascii="仿宋" w:hAnsi="仿宋" w:eastAsia="仿宋" w:cs="宋体"/>
                <w:color w:val="000000"/>
              </w:rPr>
              <w:t>合计:</w:t>
            </w:r>
          </w:p>
        </w:tc>
        <w:tc>
          <w:tcPr>
            <w:tcW w:w="2446" w:type="dxa"/>
            <w:gridSpan w:val="2"/>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c>
          <w:tcPr>
            <w:tcW w:w="4500" w:type="dxa"/>
            <w:noWrap/>
            <w:vAlign w:val="center"/>
          </w:tcPr>
          <w:p>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hAnsi="仿宋" w:eastAsia="仿宋" w:cs="宋体"/>
                <w:color w:val="000000"/>
              </w:rPr>
            </w:pPr>
          </w:p>
        </w:tc>
      </w:tr>
    </w:tbl>
    <w:p>
      <w:pPr>
        <w:spacing w:after="0" w:line="240" w:lineRule="auto"/>
        <w:rPr>
          <w:rFonts w:ascii="仿宋" w:hAnsi="仿宋" w:eastAsia="仿宋" w:cs="宋体"/>
          <w:color w:val="000000"/>
          <w:sz w:val="28"/>
          <w:szCs w:val="28"/>
        </w:rPr>
      </w:pPr>
      <w:r>
        <w:rPr>
          <w:rFonts w:hint="eastAsia" w:ascii="仿宋" w:hAnsi="仿宋" w:eastAsia="仿宋" w:cs="宋体"/>
          <w:color w:val="000000"/>
          <w:sz w:val="28"/>
          <w:szCs w:val="28"/>
        </w:rPr>
        <w:t>说明：1、此报价表采用</w:t>
      </w:r>
      <w:bookmarkStart w:id="51" w:name="_Hlk44416240"/>
      <w:r>
        <w:rPr>
          <w:rFonts w:hint="eastAsia" w:ascii="仿宋" w:hAnsi="仿宋" w:eastAsia="仿宋" w:cs="宋体"/>
          <w:color w:val="000000"/>
          <w:sz w:val="28"/>
          <w:szCs w:val="28"/>
        </w:rPr>
        <w:t>全费用包干总价</w:t>
      </w:r>
      <w:bookmarkEnd w:id="51"/>
      <w:r>
        <w:rPr>
          <w:rFonts w:hint="eastAsia" w:ascii="仿宋" w:hAnsi="仿宋" w:eastAsia="仿宋" w:cs="宋体"/>
          <w:color w:val="000000"/>
          <w:sz w:val="28"/>
          <w:szCs w:val="28"/>
        </w:rPr>
        <w:t>进行结算。</w:t>
      </w:r>
    </w:p>
    <w:p>
      <w:pPr>
        <w:spacing w:after="0" w:line="240" w:lineRule="auto"/>
        <w:ind w:left="708" w:leftChars="322"/>
        <w:rPr>
          <w:rFonts w:ascii="仿宋" w:hAnsi="仿宋" w:eastAsia="仿宋" w:cs="宋体"/>
          <w:color w:val="000000"/>
          <w:sz w:val="28"/>
          <w:szCs w:val="28"/>
        </w:rPr>
      </w:pPr>
      <w:r>
        <w:rPr>
          <w:rFonts w:hint="eastAsia" w:ascii="仿宋" w:hAnsi="仿宋" w:eastAsia="仿宋" w:cs="宋体"/>
          <w:color w:val="000000"/>
          <w:sz w:val="28"/>
          <w:szCs w:val="28"/>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spacing w:line="500" w:lineRule="exact"/>
        <w:ind w:left="780"/>
        <w:jc w:val="left"/>
        <w:rPr>
          <w:rFonts w:ascii="仿宋" w:hAnsi="仿宋" w:eastAsia="仿宋"/>
          <w:b/>
          <w:color w:val="auto"/>
          <w:sz w:val="36"/>
          <w:szCs w:val="36"/>
        </w:rPr>
        <w:sectPr>
          <w:headerReference r:id="rId10" w:type="first"/>
          <w:headerReference r:id="rId9" w:type="default"/>
          <w:pgSz w:w="16838" w:h="11906" w:orient="landscape"/>
          <w:pgMar w:top="851" w:right="1440" w:bottom="1418" w:left="1440" w:header="567" w:footer="227" w:gutter="0"/>
          <w:cols w:space="425" w:num="1"/>
          <w:titlePg/>
          <w:docGrid w:type="lines" w:linePitch="312" w:charSpace="0"/>
        </w:sectPr>
      </w:pPr>
    </w:p>
    <w:p>
      <w:pPr>
        <w:rPr>
          <w:rFonts w:ascii="仿宋" w:hAnsi="仿宋" w:eastAsia="仿宋"/>
          <w:b/>
          <w:color w:val="FF0000"/>
          <w:sz w:val="36"/>
          <w:szCs w:val="36"/>
        </w:rPr>
      </w:pPr>
    </w:p>
    <w:p>
      <w:pPr>
        <w:rPr>
          <w:rFonts w:ascii="仿宋" w:hAnsi="仿宋" w:eastAsia="仿宋"/>
          <w:b/>
          <w:color w:val="FF0000"/>
          <w:sz w:val="36"/>
          <w:szCs w:val="36"/>
        </w:rPr>
      </w:pPr>
    </w:p>
    <w:p>
      <w:pPr>
        <w:spacing w:line="1000" w:lineRule="exact"/>
        <w:jc w:val="center"/>
        <w:rPr>
          <w:rFonts w:ascii="仿宋" w:hAnsi="仿宋" w:eastAsia="仿宋"/>
          <w:b/>
          <w:sz w:val="44"/>
          <w:szCs w:val="44"/>
        </w:rPr>
      </w:pPr>
      <w:r>
        <w:rPr>
          <w:rFonts w:ascii="仿宋" w:hAnsi="仿宋" w:eastAsia="仿宋"/>
          <w:b/>
          <w:sz w:val="44"/>
          <w:szCs w:val="44"/>
        </w:rPr>
        <w:drawing>
          <wp:anchor distT="0" distB="0" distL="114300" distR="114300" simplePos="0" relativeHeight="251660288" behindDoc="0" locked="0" layoutInCell="1" allowOverlap="1">
            <wp:simplePos x="0" y="0"/>
            <wp:positionH relativeFrom="column">
              <wp:posOffset>-3810</wp:posOffset>
            </wp:positionH>
            <wp:positionV relativeFrom="paragraph">
              <wp:posOffset>-814705</wp:posOffset>
            </wp:positionV>
            <wp:extent cx="5944235" cy="132270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4235" cy="1322705"/>
                    </a:xfrm>
                    <a:prstGeom prst="rect">
                      <a:avLst/>
                    </a:prstGeom>
                    <a:noFill/>
                  </pic:spPr>
                </pic:pic>
              </a:graphicData>
            </a:graphic>
          </wp:anchor>
        </w:drawing>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ascii="仿宋" w:hAnsi="仿宋" w:eastAsia="仿宋"/>
          <w:b/>
          <w:sz w:val="44"/>
          <w:szCs w:val="44"/>
        </w:rPr>
        <w:t>2021年</w:t>
      </w:r>
      <w:r>
        <w:rPr>
          <w:rFonts w:hint="eastAsia" w:ascii="仿宋" w:hAnsi="仿宋" w:eastAsia="仿宋"/>
          <w:b/>
          <w:sz w:val="44"/>
          <w:szCs w:val="44"/>
        </w:rPr>
        <w:t>高低压配电房供配电维保服务项目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sectPr>
          <w:headerReference r:id="rId11" w:type="first"/>
          <w:pgSz w:w="11906" w:h="16838"/>
          <w:pgMar w:top="1440" w:right="1134" w:bottom="1440" w:left="1416"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2" w:name="_Toc181436461"/>
      <w:bookmarkStart w:id="53" w:name="_Toc160880529"/>
      <w:bookmarkStart w:id="54" w:name="_Toc182805217"/>
      <w:bookmarkStart w:id="55" w:name="_Toc227058530"/>
      <w:bookmarkStart w:id="56" w:name="_Toc267060068"/>
      <w:bookmarkStart w:id="57" w:name="_Toc267059806"/>
      <w:bookmarkStart w:id="58" w:name="_Toc191803626"/>
      <w:bookmarkStart w:id="59" w:name="_Toc267059030"/>
      <w:bookmarkStart w:id="60" w:name="_Toc273178698"/>
      <w:bookmarkStart w:id="61" w:name="_Toc267060208"/>
      <w:bookmarkStart w:id="62" w:name="_Toc192996446"/>
      <w:bookmarkStart w:id="63" w:name="_Toc193160448"/>
      <w:bookmarkStart w:id="64" w:name="_Toc213208766"/>
      <w:bookmarkStart w:id="65" w:name="_Toc213756051"/>
      <w:bookmarkStart w:id="66" w:name="_Toc267059181"/>
      <w:bookmarkStart w:id="67" w:name="_Toc193165734"/>
      <w:bookmarkStart w:id="68" w:name="_Toc267060321"/>
      <w:bookmarkStart w:id="69" w:name="_Toc267060453"/>
      <w:bookmarkStart w:id="70" w:name="_Toc203355733"/>
      <w:bookmarkStart w:id="71" w:name="_Toc267059653"/>
      <w:bookmarkStart w:id="72" w:name="_Toc267059539"/>
      <w:bookmarkStart w:id="73" w:name="_Toc251613829"/>
      <w:bookmarkStart w:id="74" w:name="_Toc266870432"/>
      <w:bookmarkStart w:id="75" w:name="_Toc230071147"/>
      <w:bookmarkStart w:id="76" w:name="_Toc191783222"/>
      <w:bookmarkStart w:id="77" w:name="_Toc254790899"/>
      <w:bookmarkStart w:id="78" w:name="_Toc191802690"/>
      <w:bookmarkStart w:id="79" w:name="_Toc219800243"/>
      <w:bookmarkStart w:id="80" w:name="_Toc192663835"/>
      <w:bookmarkStart w:id="81" w:name="_Toc213755939"/>
      <w:bookmarkStart w:id="82" w:name="_Toc259692740"/>
      <w:bookmarkStart w:id="83" w:name="_Toc160880160"/>
      <w:bookmarkStart w:id="84" w:name="_Toc235438344"/>
      <w:bookmarkStart w:id="85" w:name="_Toc169332838"/>
      <w:bookmarkStart w:id="86" w:name="_Toc213755858"/>
      <w:bookmarkStart w:id="87" w:name="_Toc181436565"/>
      <w:bookmarkStart w:id="88" w:name="_Toc249325711"/>
      <w:bookmarkStart w:id="89" w:name="_Toc267059919"/>
      <w:bookmarkStart w:id="90" w:name="_Toc170798793"/>
      <w:bookmarkStart w:id="91" w:name="_Toc192996338"/>
      <w:bookmarkStart w:id="92" w:name="_Toc266870833"/>
      <w:bookmarkStart w:id="93" w:name="_Toc251586231"/>
      <w:bookmarkStart w:id="94" w:name="_Toc255975007"/>
      <w:bookmarkStart w:id="95" w:name="_Toc192663686"/>
      <w:bookmarkStart w:id="96" w:name="_Toc191789329"/>
      <w:bookmarkStart w:id="97" w:name="_Toc192664153"/>
      <w:bookmarkStart w:id="98" w:name="_Toc211917116"/>
      <w:bookmarkStart w:id="99" w:name="_Toc182372782"/>
      <w:bookmarkStart w:id="100" w:name="_Toc177985469"/>
      <w:bookmarkStart w:id="101" w:name="_Toc223146608"/>
      <w:bookmarkStart w:id="102" w:name="_Toc180302913"/>
      <w:bookmarkStart w:id="103" w:name="_Toc259692647"/>
      <w:bookmarkStart w:id="104" w:name="_Toc213755995"/>
      <w:bookmarkStart w:id="105" w:name="_Toc169332949"/>
      <w:bookmarkStart w:id="106" w:name="_Toc258401256"/>
      <w:bookmarkStart w:id="107" w:name="_Toc225669322"/>
      <w:bookmarkStart w:id="108" w:name="_Toc266870907"/>
      <w:bookmarkStart w:id="109" w:name="_Toc217891402"/>
      <w:bookmarkStart w:id="110" w:name="_Toc266868937"/>
      <w:bookmarkStart w:id="111" w:name="_Toc235437991"/>
      <w:bookmarkStart w:id="112" w:name="_Toc235438274"/>
      <w:bookmarkStart w:id="113" w:name="_Toc236021449"/>
      <w:bookmarkStart w:id="114" w:name="_Toc253066614"/>
      <w:bookmarkStart w:id="115" w:name="_Toc232302115"/>
      <w:bookmarkStart w:id="116" w:name="_Toc266868670"/>
      <w:bookmarkStart w:id="117" w:name="_Toc259520865"/>
      <w:r>
        <w:rPr>
          <w:rFonts w:hint="eastAsia" w:ascii="仿宋" w:hAnsi="仿宋" w:eastAsia="仿宋"/>
          <w:b/>
          <w:bCs/>
          <w:sz w:val="28"/>
          <w:szCs w:val="28"/>
        </w:rPr>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致：重庆外语外事学院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ascii="仿宋" w:hAnsi="仿宋" w:eastAsia="仿宋"/>
          <w:sz w:val="28"/>
          <w:szCs w:val="28"/>
        </w:rPr>
        <w:t>1</w:t>
      </w:r>
      <w:r>
        <w:rPr>
          <w:rFonts w:hint="eastAsia" w:ascii="仿宋" w:hAnsi="仿宋" w:eastAsia="仿宋"/>
          <w:sz w:val="28"/>
          <w:szCs w:val="28"/>
        </w:rPr>
        <w:t>份和副本</w:t>
      </w:r>
      <w:r>
        <w:rPr>
          <w:rFonts w:ascii="仿宋" w:hAnsi="仿宋" w:eastAsia="仿宋"/>
          <w:sz w:val="28"/>
          <w:szCs w:val="28"/>
        </w:rPr>
        <w:t>1</w:t>
      </w:r>
      <w:r>
        <w:rPr>
          <w:rFonts w:hint="eastAsia" w:ascii="仿宋" w:hAnsi="仿宋" w:eastAsia="仿宋"/>
          <w:sz w:val="28"/>
          <w:szCs w:val="28"/>
        </w:rPr>
        <w:t>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szCs w:val="28"/>
        </w:rPr>
        <w:sectPr>
          <w:headerReference r:id="rId13" w:type="first"/>
          <w:headerReference r:id="rId12" w:type="default"/>
          <w:footerReference r:id="rId14" w:type="default"/>
          <w:pgSz w:w="11906" w:h="16838"/>
          <w:pgMar w:top="1440" w:right="1416" w:bottom="1440" w:left="1134" w:header="851" w:footer="992" w:gutter="0"/>
          <w:cols w:space="425" w:num="1"/>
          <w:titlePg/>
          <w:docGrid w:type="lines" w:linePitch="312" w:charSpace="0"/>
        </w:sect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keepNext w:val="0"/>
        <w:keepLines w:val="0"/>
        <w:pageBreakBefore w:val="0"/>
        <w:widowControl/>
        <w:kinsoku/>
        <w:wordWrap/>
        <w:overflowPunct/>
        <w:topLinePunct w:val="0"/>
        <w:autoSpaceDE/>
        <w:autoSpaceDN/>
        <w:bidi w:val="0"/>
        <w:adjustRightInd/>
        <w:snapToGrid/>
        <w:spacing w:after="0" w:line="380" w:lineRule="exact"/>
        <w:ind w:left="147" w:leftChars="67"/>
        <w:textAlignment w:val="auto"/>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keepNext w:val="0"/>
        <w:keepLines w:val="0"/>
        <w:pageBreakBefore w:val="0"/>
        <w:widowControl/>
        <w:kinsoku/>
        <w:wordWrap/>
        <w:overflowPunct/>
        <w:topLinePunct w:val="0"/>
        <w:autoSpaceDE/>
        <w:autoSpaceDN/>
        <w:bidi w:val="0"/>
        <w:adjustRightInd/>
        <w:snapToGrid/>
        <w:spacing w:after="0" w:line="380" w:lineRule="exact"/>
        <w:ind w:left="147" w:leftChars="67"/>
        <w:textAlignment w:val="auto"/>
        <w:rPr>
          <w:rFonts w:ascii="仿宋" w:hAnsi="仿宋" w:eastAsia="仿宋"/>
          <w:sz w:val="28"/>
          <w:szCs w:val="28"/>
        </w:rPr>
      </w:pPr>
      <w:r>
        <w:rPr>
          <w:rFonts w:hint="eastAsia" w:ascii="仿宋" w:hAnsi="仿宋" w:eastAsia="仿宋"/>
          <w:sz w:val="28"/>
          <w:szCs w:val="28"/>
        </w:rPr>
        <w:t>货币单位：</w:t>
      </w:r>
    </w:p>
    <w:tbl>
      <w:tblPr>
        <w:tblStyle w:val="26"/>
        <w:tblpPr w:leftFromText="180" w:rightFromText="180" w:vertAnchor="text" w:horzAnchor="margin" w:tblpX="-147" w:tblpY="88"/>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2980"/>
        <w:gridCol w:w="1560"/>
        <w:gridCol w:w="900"/>
        <w:gridCol w:w="974"/>
        <w:gridCol w:w="1441"/>
        <w:gridCol w:w="100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序号</w:t>
            </w:r>
          </w:p>
        </w:tc>
        <w:tc>
          <w:tcPr>
            <w:tcW w:w="298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项目</w:t>
            </w: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规格</w:t>
            </w:r>
          </w:p>
        </w:tc>
        <w:tc>
          <w:tcPr>
            <w:tcW w:w="9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单位</w:t>
            </w: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数量</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单价（元）</w:t>
            </w: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金额</w:t>
            </w: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1</w:t>
            </w:r>
          </w:p>
        </w:tc>
        <w:tc>
          <w:tcPr>
            <w:tcW w:w="298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高压柜</w:t>
            </w: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0KV</w:t>
            </w:r>
          </w:p>
        </w:tc>
        <w:tc>
          <w:tcPr>
            <w:tcW w:w="9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台</w:t>
            </w: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ascii="仿宋" w:hAnsi="仿宋" w:eastAsia="仿宋" w:cs="宋体"/>
                <w:color w:val="000000"/>
              </w:rPr>
              <w:t>55</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渝北2</w:t>
            </w:r>
            <w:r>
              <w:rPr>
                <w:rFonts w:ascii="仿宋" w:hAnsi="仿宋" w:eastAsia="仿宋" w:cs="宋体"/>
                <w:color w:val="000000"/>
              </w:rPr>
              <w:t>4</w:t>
            </w:r>
            <w:r>
              <w:rPr>
                <w:rFonts w:hint="eastAsia" w:ascii="仿宋" w:hAnsi="仿宋" w:eastAsia="仿宋" w:cs="宋体"/>
                <w:color w:val="000000"/>
              </w:rPr>
              <w:t>台、綦江3</w:t>
            </w:r>
            <w:r>
              <w:rPr>
                <w:rFonts w:ascii="仿宋" w:hAnsi="仿宋" w:eastAsia="仿宋" w:cs="宋体"/>
                <w:color w:val="000000"/>
              </w:rPr>
              <w:t>1</w:t>
            </w:r>
            <w:r>
              <w:rPr>
                <w:rFonts w:hint="eastAsia" w:ascii="仿宋" w:hAnsi="仿宋" w:eastAsia="仿宋" w:cs="宋体"/>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vMerge w:val="restart"/>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2</w:t>
            </w:r>
          </w:p>
        </w:tc>
        <w:tc>
          <w:tcPr>
            <w:tcW w:w="2980" w:type="dxa"/>
            <w:vMerge w:val="restart"/>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变压器</w:t>
            </w: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8</w:t>
            </w:r>
            <w:r>
              <w:rPr>
                <w:rFonts w:ascii="仿宋" w:hAnsi="仿宋" w:eastAsia="仿宋" w:cs="宋体"/>
                <w:color w:val="000000"/>
              </w:rPr>
              <w:t>00KVA</w:t>
            </w:r>
          </w:p>
        </w:tc>
        <w:tc>
          <w:tcPr>
            <w:tcW w:w="900" w:type="dxa"/>
            <w:vMerge w:val="restart"/>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台</w:t>
            </w: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ascii="仿宋" w:hAnsi="仿宋" w:eastAsia="仿宋" w:cs="宋体"/>
                <w:color w:val="000000"/>
              </w:rPr>
              <w:t>4</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渝北、綦江各2台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vMerge w:val="continue"/>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2980" w:type="dxa"/>
            <w:vMerge w:val="continue"/>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000KVA</w:t>
            </w:r>
          </w:p>
        </w:tc>
        <w:tc>
          <w:tcPr>
            <w:tcW w:w="900" w:type="dxa"/>
            <w:vMerge w:val="continue"/>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ascii="仿宋" w:hAnsi="仿宋" w:eastAsia="仿宋" w:cs="宋体"/>
                <w:color w:val="000000"/>
              </w:rPr>
              <w:t>4</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渝北、綦江各2台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vMerge w:val="continue"/>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2980" w:type="dxa"/>
            <w:vMerge w:val="continue"/>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250KVA</w:t>
            </w:r>
          </w:p>
        </w:tc>
        <w:tc>
          <w:tcPr>
            <w:tcW w:w="900" w:type="dxa"/>
            <w:vMerge w:val="continue"/>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ascii="仿宋" w:hAnsi="仿宋" w:eastAsia="仿宋" w:cs="宋体"/>
                <w:color w:val="000000"/>
              </w:rPr>
              <w:t>5</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渝北3台、綦江2台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3</w:t>
            </w:r>
          </w:p>
        </w:tc>
        <w:tc>
          <w:tcPr>
            <w:tcW w:w="298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继电保护、自动装置</w:t>
            </w: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9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台</w:t>
            </w: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ascii="仿宋" w:hAnsi="仿宋" w:eastAsia="仿宋" w:cs="宋体"/>
                <w:color w:val="000000"/>
              </w:rPr>
              <w:t>50</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渝北、綦江各2</w:t>
            </w:r>
            <w:r>
              <w:rPr>
                <w:rFonts w:ascii="仿宋" w:hAnsi="仿宋" w:eastAsia="仿宋" w:cs="宋体"/>
                <w:color w:val="000000"/>
              </w:rPr>
              <w:t>5</w:t>
            </w:r>
            <w:r>
              <w:rPr>
                <w:rFonts w:hint="eastAsia" w:ascii="仿宋" w:hAnsi="仿宋" w:eastAsia="仿宋" w:cs="宋体"/>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4</w:t>
            </w:r>
          </w:p>
        </w:tc>
        <w:tc>
          <w:tcPr>
            <w:tcW w:w="298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电力电缆</w:t>
            </w: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ascii="仿宋" w:hAnsi="仿宋" w:eastAsia="仿宋" w:cs="宋体"/>
                <w:color w:val="000000"/>
              </w:rPr>
              <w:t>10KV</w:t>
            </w:r>
          </w:p>
        </w:tc>
        <w:tc>
          <w:tcPr>
            <w:tcW w:w="9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根</w:t>
            </w: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9</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渝北1</w:t>
            </w:r>
            <w:r>
              <w:rPr>
                <w:rFonts w:ascii="仿宋" w:hAnsi="仿宋" w:eastAsia="仿宋" w:cs="宋体"/>
                <w:color w:val="000000"/>
              </w:rPr>
              <w:t>2</w:t>
            </w:r>
            <w:r>
              <w:rPr>
                <w:rFonts w:hint="eastAsia" w:ascii="仿宋" w:hAnsi="仿宋" w:eastAsia="仿宋" w:cs="宋体"/>
                <w:color w:val="000000"/>
              </w:rPr>
              <w:t>根、綦江7根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5</w:t>
            </w:r>
          </w:p>
        </w:tc>
        <w:tc>
          <w:tcPr>
            <w:tcW w:w="298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直流屏系统</w:t>
            </w: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0KV</w:t>
            </w:r>
          </w:p>
        </w:tc>
        <w:tc>
          <w:tcPr>
            <w:tcW w:w="9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套</w:t>
            </w: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9</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渝北4套、綦江5套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6</w:t>
            </w:r>
          </w:p>
        </w:tc>
        <w:tc>
          <w:tcPr>
            <w:tcW w:w="298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低压柜（含电容柜）</w:t>
            </w: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9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台</w:t>
            </w: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05</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渝北4</w:t>
            </w:r>
            <w:r>
              <w:rPr>
                <w:rFonts w:ascii="仿宋" w:hAnsi="仿宋" w:eastAsia="仿宋" w:cs="宋体"/>
                <w:color w:val="000000"/>
              </w:rPr>
              <w:t>9</w:t>
            </w:r>
            <w:r>
              <w:rPr>
                <w:rFonts w:hint="eastAsia" w:ascii="仿宋" w:hAnsi="仿宋" w:eastAsia="仿宋" w:cs="宋体"/>
                <w:color w:val="000000"/>
              </w:rPr>
              <w:t>台、綦江5</w:t>
            </w:r>
            <w:r>
              <w:rPr>
                <w:rFonts w:ascii="仿宋" w:hAnsi="仿宋" w:eastAsia="仿宋" w:cs="宋体"/>
                <w:color w:val="000000"/>
              </w:rPr>
              <w:t>6</w:t>
            </w:r>
            <w:r>
              <w:rPr>
                <w:rFonts w:hint="eastAsia" w:ascii="仿宋" w:hAnsi="仿宋" w:eastAsia="仿宋" w:cs="宋体"/>
                <w:color w:val="00000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7</w:t>
            </w:r>
          </w:p>
        </w:tc>
        <w:tc>
          <w:tcPr>
            <w:tcW w:w="298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低压封闭母线</w:t>
            </w: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9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段</w:t>
            </w: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1</w:t>
            </w:r>
            <w:r>
              <w:rPr>
                <w:rFonts w:ascii="仿宋" w:hAnsi="仿宋" w:eastAsia="仿宋" w:cs="宋体"/>
                <w:color w:val="000000"/>
              </w:rPr>
              <w:t>4</w:t>
            </w: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渝北1</w:t>
            </w:r>
            <w:r>
              <w:rPr>
                <w:rFonts w:ascii="仿宋" w:hAnsi="仿宋" w:eastAsia="仿宋" w:cs="宋体"/>
                <w:color w:val="000000"/>
              </w:rPr>
              <w:t>2</w:t>
            </w:r>
            <w:r>
              <w:rPr>
                <w:rFonts w:hint="eastAsia" w:ascii="仿宋" w:hAnsi="仿宋" w:eastAsia="仿宋" w:cs="宋体"/>
                <w:color w:val="000000"/>
              </w:rPr>
              <w:t>段、綦江2段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87"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9</w:t>
            </w:r>
          </w:p>
        </w:tc>
        <w:tc>
          <w:tcPr>
            <w:tcW w:w="298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税金</w:t>
            </w:r>
          </w:p>
        </w:tc>
        <w:tc>
          <w:tcPr>
            <w:tcW w:w="156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9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w:t>
            </w:r>
          </w:p>
        </w:tc>
        <w:tc>
          <w:tcPr>
            <w:tcW w:w="974"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441"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1005"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7201" w:type="dxa"/>
            <w:gridSpan w:val="5"/>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r>
              <w:rPr>
                <w:rFonts w:hint="eastAsia" w:ascii="仿宋" w:hAnsi="仿宋" w:eastAsia="仿宋" w:cs="宋体"/>
                <w:color w:val="000000"/>
              </w:rPr>
              <w:t>合计:</w:t>
            </w:r>
          </w:p>
        </w:tc>
        <w:tc>
          <w:tcPr>
            <w:tcW w:w="2446" w:type="dxa"/>
            <w:gridSpan w:val="2"/>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c>
          <w:tcPr>
            <w:tcW w:w="4500" w:type="dxa"/>
            <w:noWrap/>
            <w:vAlign w:val="center"/>
          </w:tcPr>
          <w:p>
            <w:pPr>
              <w:keepNext w:val="0"/>
              <w:keepLines w:val="0"/>
              <w:pageBreakBefore w:val="0"/>
              <w:widowControl/>
              <w:tabs>
                <w:tab w:val="left" w:pos="8762"/>
                <w:tab w:val="left" w:pos="9450"/>
                <w:tab w:val="left" w:pos="10138"/>
                <w:tab w:val="left" w:pos="10993"/>
                <w:tab w:val="left" w:pos="11702"/>
                <w:tab w:val="left" w:pos="12411"/>
                <w:tab w:val="left" w:pos="13261"/>
                <w:tab w:val="left" w:pos="14112"/>
              </w:tabs>
              <w:kinsoku/>
              <w:wordWrap/>
              <w:overflowPunct/>
              <w:topLinePunct w:val="0"/>
              <w:autoSpaceDE/>
              <w:autoSpaceDN/>
              <w:bidi w:val="0"/>
              <w:adjustRightInd/>
              <w:snapToGrid/>
              <w:spacing w:after="0" w:line="240" w:lineRule="auto"/>
              <w:jc w:val="center"/>
              <w:textAlignment w:val="auto"/>
              <w:rPr>
                <w:rFonts w:ascii="仿宋" w:hAnsi="仿宋" w:eastAsia="仿宋" w:cs="宋体"/>
                <w:color w:val="000000"/>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仿宋" w:hAnsi="仿宋" w:eastAsia="仿宋" w:cs="宋体"/>
          <w:color w:val="000000"/>
          <w:sz w:val="28"/>
          <w:szCs w:val="28"/>
        </w:rPr>
      </w:pPr>
      <w:r>
        <w:rPr>
          <w:rFonts w:hint="eastAsia" w:ascii="仿宋" w:hAnsi="仿宋" w:eastAsia="仿宋" w:cs="宋体"/>
          <w:color w:val="000000"/>
          <w:sz w:val="28"/>
          <w:szCs w:val="28"/>
        </w:rPr>
        <w:t>说明：1、此报价表采用全费用包干总价进行结算。</w:t>
      </w:r>
    </w:p>
    <w:tbl>
      <w:tblPr>
        <w:tblStyle w:val="25"/>
        <w:tblpPr w:leftFromText="180" w:rightFromText="180" w:vertAnchor="page" w:horzAnchor="page" w:tblpX="11735" w:tblpY="9817"/>
        <w:tblW w:w="2373" w:type="dxa"/>
        <w:tblInd w:w="0" w:type="dxa"/>
        <w:tblLayout w:type="autofit"/>
        <w:tblCellMar>
          <w:top w:w="0" w:type="dxa"/>
          <w:left w:w="108" w:type="dxa"/>
          <w:bottom w:w="0" w:type="dxa"/>
          <w:right w:w="108" w:type="dxa"/>
        </w:tblCellMar>
      </w:tblPr>
      <w:tblGrid>
        <w:gridCol w:w="2373"/>
      </w:tblGrid>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auto"/>
                <w:sz w:val="20"/>
                <w:szCs w:val="20"/>
              </w:rPr>
            </w:pPr>
            <w:r>
              <w:rPr>
                <w:rFonts w:hint="eastAsia" w:ascii="仿宋" w:hAnsi="仿宋" w:eastAsia="仿宋" w:cs="宋体"/>
                <w:color w:val="auto"/>
                <w:sz w:val="20"/>
                <w:szCs w:val="20"/>
              </w:rPr>
              <w:t>报价单位（公章）：</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auto"/>
                <w:sz w:val="20"/>
                <w:szCs w:val="20"/>
              </w:rPr>
            </w:pPr>
            <w:r>
              <w:rPr>
                <w:rFonts w:hint="eastAsia" w:ascii="仿宋" w:hAnsi="仿宋" w:eastAsia="仿宋" w:cs="宋体"/>
                <w:color w:val="auto"/>
                <w:spacing w:val="122"/>
                <w:kern w:val="0"/>
                <w:sz w:val="20"/>
                <w:szCs w:val="20"/>
                <w:fitText w:val="1980" w:id="1447975769"/>
              </w:rPr>
              <w:t>报价时间</w:t>
            </w:r>
            <w:r>
              <w:rPr>
                <w:rFonts w:hint="eastAsia" w:ascii="仿宋" w:hAnsi="仿宋" w:eastAsia="仿宋" w:cs="宋体"/>
                <w:color w:val="auto"/>
                <w:spacing w:val="2"/>
                <w:kern w:val="0"/>
                <w:sz w:val="20"/>
                <w:szCs w:val="20"/>
                <w:fitText w:val="1980" w:id="1447975769"/>
              </w:rPr>
              <w:t>：</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auto"/>
                <w:sz w:val="20"/>
                <w:szCs w:val="20"/>
              </w:rPr>
            </w:pPr>
            <w:r>
              <w:rPr>
                <w:rFonts w:hint="eastAsia" w:ascii="仿宋" w:hAnsi="仿宋" w:eastAsia="仿宋" w:cs="宋体"/>
                <w:color w:val="auto"/>
                <w:spacing w:val="196"/>
                <w:kern w:val="0"/>
                <w:sz w:val="20"/>
                <w:szCs w:val="20"/>
                <w:fitText w:val="1980" w:id="1074871684"/>
              </w:rPr>
              <w:t>联系人</w:t>
            </w:r>
            <w:r>
              <w:rPr>
                <w:rFonts w:hint="eastAsia" w:ascii="仿宋" w:hAnsi="仿宋" w:eastAsia="仿宋" w:cs="宋体"/>
                <w:color w:val="auto"/>
                <w:spacing w:val="2"/>
                <w:kern w:val="0"/>
                <w:sz w:val="20"/>
                <w:szCs w:val="20"/>
                <w:fitText w:val="1980" w:id="1074871684"/>
              </w:rPr>
              <w:t>：</w:t>
            </w:r>
          </w:p>
        </w:tc>
      </w:tr>
      <w:tr>
        <w:tblPrEx>
          <w:tblCellMar>
            <w:top w:w="0" w:type="dxa"/>
            <w:left w:w="108" w:type="dxa"/>
            <w:bottom w:w="0" w:type="dxa"/>
            <w:right w:w="108" w:type="dxa"/>
          </w:tblCellMar>
        </w:tblPrEx>
        <w:trPr>
          <w:trHeight w:val="298" w:hRule="atLeast"/>
        </w:trPr>
        <w:tc>
          <w:tcPr>
            <w:tcW w:w="2373" w:type="dxa"/>
            <w:tcBorders>
              <w:top w:val="nil"/>
              <w:left w:val="nil"/>
              <w:bottom w:val="nil"/>
              <w:right w:val="nil"/>
            </w:tcBorders>
            <w:shd w:val="clear" w:color="auto" w:fill="auto"/>
            <w:noWrap/>
            <w:vAlign w:val="bottom"/>
          </w:tcPr>
          <w:p>
            <w:pPr>
              <w:spacing w:after="0" w:line="240" w:lineRule="exact"/>
              <w:jc w:val="left"/>
              <w:rPr>
                <w:rFonts w:ascii="仿宋" w:hAnsi="仿宋" w:eastAsia="仿宋" w:cs="宋体"/>
                <w:color w:val="auto"/>
                <w:sz w:val="20"/>
                <w:szCs w:val="20"/>
              </w:rPr>
            </w:pPr>
            <w:r>
              <w:rPr>
                <w:rFonts w:hint="eastAsia" w:ascii="仿宋" w:hAnsi="仿宋" w:eastAsia="仿宋" w:cs="宋体"/>
                <w:color w:val="auto"/>
                <w:spacing w:val="122"/>
                <w:kern w:val="0"/>
                <w:sz w:val="20"/>
                <w:szCs w:val="20"/>
                <w:fitText w:val="1980" w:id="1688800908"/>
              </w:rPr>
              <w:t>联系电话</w:t>
            </w:r>
            <w:r>
              <w:rPr>
                <w:rFonts w:hint="eastAsia" w:ascii="仿宋" w:hAnsi="仿宋" w:eastAsia="仿宋" w:cs="宋体"/>
                <w:color w:val="auto"/>
                <w:spacing w:val="2"/>
                <w:kern w:val="0"/>
                <w:sz w:val="20"/>
                <w:szCs w:val="20"/>
                <w:fitText w:val="1980" w:id="1688800908"/>
              </w:rPr>
              <w:t>：</w:t>
            </w:r>
          </w:p>
        </w:tc>
      </w:tr>
    </w:tbl>
    <w:p>
      <w:pPr>
        <w:keepNext w:val="0"/>
        <w:keepLines w:val="0"/>
        <w:pageBreakBefore w:val="0"/>
        <w:widowControl/>
        <w:kinsoku/>
        <w:wordWrap/>
        <w:overflowPunct/>
        <w:topLinePunct w:val="0"/>
        <w:autoSpaceDE/>
        <w:autoSpaceDN/>
        <w:bidi w:val="0"/>
        <w:adjustRightInd/>
        <w:snapToGrid/>
        <w:spacing w:after="0" w:line="380" w:lineRule="exact"/>
        <w:ind w:left="147" w:leftChars="67" w:firstLine="560" w:firstLineChars="200"/>
        <w:textAlignment w:val="auto"/>
        <w:rPr>
          <w:rFonts w:ascii="仿宋" w:hAnsi="仿宋" w:eastAsia="仿宋"/>
          <w:sz w:val="28"/>
          <w:szCs w:val="28"/>
          <w:lang w:val="zh-CN"/>
        </w:rPr>
      </w:pPr>
      <w:r>
        <w:rPr>
          <w:rFonts w:hint="eastAsia" w:ascii="仿宋" w:hAnsi="仿宋" w:eastAsia="仿宋" w:cs="宋体"/>
          <w:color w:val="000000"/>
          <w:sz w:val="28"/>
          <w:szCs w:val="28"/>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spacing w:line="380" w:lineRule="exact"/>
        <w:rPr>
          <w:rFonts w:ascii="仿宋" w:hAnsi="仿宋" w:eastAsia="仿宋"/>
          <w:sz w:val="28"/>
          <w:szCs w:val="28"/>
          <w:lang w:val="zh-CN"/>
        </w:rPr>
      </w:pPr>
    </w:p>
    <w:p>
      <w:pPr>
        <w:spacing w:line="360" w:lineRule="auto"/>
        <w:ind w:right="1800"/>
        <w:jc w:val="right"/>
        <w:rPr>
          <w:rFonts w:ascii="仿宋" w:hAnsi="仿宋" w:eastAsia="仿宋"/>
          <w:sz w:val="28"/>
          <w:szCs w:val="28"/>
          <w:lang w:val="zh-CN"/>
        </w:rPr>
        <w:sectPr>
          <w:pgSz w:w="16838" w:h="11906" w:orient="landscape"/>
          <w:pgMar w:top="1416" w:right="1440" w:bottom="1134" w:left="1440" w:header="851" w:footer="992" w:gutter="0"/>
          <w:cols w:space="425" w:num="1"/>
          <w:titlePg/>
          <w:docGrid w:type="lines" w:linePitch="312" w:charSpace="0"/>
        </w:sectPr>
      </w:pPr>
      <w:bookmarkStart w:id="118" w:name="_Toc182805222"/>
      <w:bookmarkStart w:id="119" w:name="_Toc266868943"/>
      <w:bookmarkStart w:id="120" w:name="_Toc177985474"/>
      <w:bookmarkStart w:id="121" w:name="_Toc169332954"/>
      <w:bookmarkStart w:id="122" w:name="_Toc251613839"/>
      <w:bookmarkStart w:id="123" w:name="_Toc213208771"/>
      <w:bookmarkStart w:id="124" w:name="_Toc181436570"/>
      <w:bookmarkStart w:id="125" w:name="_Toc266870839"/>
      <w:bookmarkStart w:id="126" w:name="_Toc266870441"/>
      <w:bookmarkStart w:id="127" w:name="_Toc192663691"/>
      <w:bookmarkStart w:id="128" w:name="_Toc267060461"/>
      <w:bookmarkStart w:id="129" w:name="_Toc266870916"/>
      <w:bookmarkStart w:id="130" w:name="_Toc267059811"/>
      <w:bookmarkStart w:id="131" w:name="_Toc170798798"/>
      <w:bookmarkStart w:id="132" w:name="_Toc267060326"/>
      <w:bookmarkStart w:id="133" w:name="_Toc192664158"/>
      <w:bookmarkStart w:id="134" w:name="_Toc213756001"/>
      <w:bookmarkStart w:id="135" w:name="_Toc267059186"/>
      <w:bookmarkStart w:id="136" w:name="_Toc254790909"/>
      <w:bookmarkStart w:id="137" w:name="_Toc219800249"/>
      <w:bookmarkStart w:id="138" w:name="_Toc191803631"/>
      <w:bookmarkStart w:id="139" w:name="_Toc213755945"/>
      <w:bookmarkStart w:id="140" w:name="_Toc235438281"/>
      <w:bookmarkStart w:id="141" w:name="_Toc230071153"/>
      <w:bookmarkStart w:id="142" w:name="_Toc193165739"/>
      <w:bookmarkStart w:id="143" w:name="_Toc258401265"/>
      <w:bookmarkStart w:id="144" w:name="_Toc191802695"/>
      <w:bookmarkStart w:id="145" w:name="_Toc223146614"/>
      <w:bookmarkStart w:id="146" w:name="_Toc267060216"/>
      <w:bookmarkStart w:id="147" w:name="_Toc251586241"/>
      <w:bookmarkStart w:id="148" w:name="_Toc217891408"/>
      <w:bookmarkStart w:id="149" w:name="_Toc259692656"/>
      <w:bookmarkStart w:id="150" w:name="_Toc192663840"/>
      <w:bookmarkStart w:id="151" w:name="_Toc232302122"/>
      <w:bookmarkStart w:id="152" w:name="_Toc213755864"/>
      <w:bookmarkStart w:id="153" w:name="_Toc235437998"/>
      <w:bookmarkStart w:id="154" w:name="_Toc227058536"/>
      <w:bookmarkStart w:id="155" w:name="_Toc192996451"/>
      <w:bookmarkStart w:id="156" w:name="_Toc259520874"/>
      <w:bookmarkStart w:id="157" w:name="_Toc249325720"/>
      <w:bookmarkStart w:id="158" w:name="_Toc267059658"/>
      <w:bookmarkStart w:id="159" w:name="_Toc255975016"/>
      <w:bookmarkStart w:id="160" w:name="_Toc267059544"/>
      <w:bookmarkStart w:id="161" w:name="_Toc169332843"/>
      <w:bookmarkStart w:id="162" w:name="_Toc236021457"/>
      <w:bookmarkStart w:id="163" w:name="_Toc193160453"/>
      <w:bookmarkStart w:id="164" w:name="_Toc180302918"/>
      <w:bookmarkStart w:id="165" w:name="_Toc160880165"/>
      <w:bookmarkStart w:id="166" w:name="_Toc160880534"/>
      <w:bookmarkStart w:id="167" w:name="_Toc211917121"/>
      <w:bookmarkStart w:id="168" w:name="_Toc235438352"/>
      <w:bookmarkStart w:id="169" w:name="_Toc181436466"/>
      <w:bookmarkStart w:id="170" w:name="_Toc225669328"/>
      <w:bookmarkStart w:id="171" w:name="_Toc273178703"/>
      <w:bookmarkStart w:id="172" w:name="_Toc266868679"/>
      <w:bookmarkStart w:id="173" w:name="_Toc182372787"/>
      <w:bookmarkStart w:id="174" w:name="_Toc213756057"/>
      <w:bookmarkStart w:id="175" w:name="_Toc192996343"/>
      <w:bookmarkStart w:id="176" w:name="_Toc267059035"/>
      <w:bookmarkStart w:id="177" w:name="_Toc267060076"/>
      <w:bookmarkStart w:id="178" w:name="_Toc191783227"/>
      <w:bookmarkStart w:id="179" w:name="_Toc253066624"/>
      <w:bookmarkStart w:id="180" w:name="_Toc203355738"/>
      <w:bookmarkStart w:id="181" w:name="_Toc259692749"/>
      <w:bookmarkStart w:id="182" w:name="_Toc191789334"/>
      <w:bookmarkStart w:id="183" w:name="_Toc267059924"/>
    </w:p>
    <w:p>
      <w:pPr>
        <w:spacing w:line="380" w:lineRule="exact"/>
        <w:ind w:right="112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4" w:name="_Toc227058537"/>
      <w:bookmarkStart w:id="185" w:name="_Toc259520875"/>
      <w:bookmarkStart w:id="186" w:name="_Toc266870442"/>
      <w:bookmarkStart w:id="187" w:name="_Toc235437999"/>
      <w:bookmarkStart w:id="188" w:name="_Toc258401266"/>
      <w:bookmarkStart w:id="189" w:name="_Toc225669329"/>
      <w:bookmarkStart w:id="190" w:name="_Toc267060462"/>
      <w:bookmarkStart w:id="191" w:name="_Toc251613840"/>
      <w:bookmarkStart w:id="192" w:name="_Toc266870917"/>
      <w:bookmarkStart w:id="193" w:name="_Toc235438282"/>
      <w:bookmarkStart w:id="194" w:name="_Toc230071154"/>
      <w:bookmarkStart w:id="195" w:name="_Toc259692750"/>
      <w:bookmarkStart w:id="196" w:name="_Toc213756058"/>
      <w:bookmarkStart w:id="197" w:name="_Toc232302123"/>
      <w:bookmarkStart w:id="198" w:name="_Toc236021458"/>
      <w:bookmarkStart w:id="199" w:name="_Toc219800250"/>
      <w:bookmarkStart w:id="200" w:name="_Toc235438353"/>
      <w:bookmarkStart w:id="201" w:name="_Toc217891409"/>
      <w:bookmarkStart w:id="202" w:name="_Toc254790910"/>
      <w:bookmarkStart w:id="203" w:name="_Toc253066625"/>
      <w:bookmarkStart w:id="204" w:name="_Toc259692657"/>
      <w:bookmarkStart w:id="205" w:name="_Toc255975017"/>
      <w:bookmarkStart w:id="206" w:name="_Toc267060217"/>
      <w:bookmarkStart w:id="207" w:name="_Toc267060077"/>
      <w:bookmarkStart w:id="208" w:name="_Toc249325721"/>
      <w:bookmarkStart w:id="209" w:name="_Toc251586242"/>
      <w:bookmarkStart w:id="210" w:name="_Toc223146615"/>
      <w:bookmarkStart w:id="211" w:name="_Toc266868680"/>
      <w:r>
        <w:rPr>
          <w:rFonts w:ascii="仿宋" w:hAnsi="仿宋" w:eastAsia="仿宋"/>
          <w:b/>
          <w:sz w:val="28"/>
          <w:szCs w:val="28"/>
        </w:rPr>
        <w:t>3</w:t>
      </w:r>
      <w:r>
        <w:rPr>
          <w:rFonts w:hint="eastAsia" w:ascii="仿宋" w:hAnsi="仿宋" w:eastAsia="仿宋"/>
          <w:b/>
          <w:sz w:val="28"/>
          <w:szCs w:val="28"/>
        </w:rPr>
        <w:t>-1关于资格的声明函</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hint="eastAsia" w:ascii="仿宋" w:hAnsi="仿宋" w:eastAsia="仿宋"/>
          <w:b/>
          <w:sz w:val="28"/>
          <w:szCs w:val="28"/>
        </w:rPr>
        <w:cr/>
      </w:r>
    </w:p>
    <w:p>
      <w:pPr>
        <w:spacing w:after="0" w:line="500" w:lineRule="exact"/>
        <w:rPr>
          <w:rFonts w:ascii="仿宋" w:hAnsi="仿宋" w:eastAsia="仿宋"/>
          <w:sz w:val="28"/>
          <w:szCs w:val="28"/>
        </w:rPr>
      </w:pPr>
      <w:bookmarkStart w:id="212" w:name="_Hlk511663739"/>
      <w:r>
        <w:rPr>
          <w:rFonts w:hint="eastAsia" w:ascii="仿宋" w:hAnsi="仿宋" w:eastAsia="仿宋"/>
          <w:sz w:val="28"/>
          <w:szCs w:val="28"/>
        </w:rPr>
        <w:t>重庆外语外事学院：</w:t>
      </w:r>
      <w:bookmarkEnd w:id="212"/>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w:t>
      </w:r>
      <w:r>
        <w:rPr>
          <w:rFonts w:ascii="仿宋" w:hAnsi="仿宋" w:eastAsia="仿宋"/>
          <w:sz w:val="28"/>
          <w:szCs w:val="28"/>
        </w:rPr>
        <w:t>1</w:t>
      </w:r>
      <w:r>
        <w:rPr>
          <w:rFonts w:hint="eastAsia" w:ascii="仿宋" w:hAnsi="仿宋" w:eastAsia="仿宋"/>
          <w:sz w:val="28"/>
          <w:szCs w:val="28"/>
        </w:rPr>
        <w:t>份，副本</w:t>
      </w:r>
      <w:r>
        <w:rPr>
          <w:rFonts w:ascii="仿宋" w:hAnsi="仿宋" w:eastAsia="仿宋"/>
          <w:sz w:val="28"/>
          <w:szCs w:val="28"/>
        </w:rPr>
        <w:t>1</w:t>
      </w:r>
      <w:r>
        <w:rPr>
          <w:rFonts w:hint="eastAsia" w:ascii="仿宋" w:hAnsi="仿宋" w:eastAsia="仿宋"/>
          <w:sz w:val="28"/>
          <w:szCs w:val="28"/>
        </w:rPr>
        <w:t>份，随报价响应文件一同递交。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3" w:name="_Toc236021459"/>
      <w:bookmarkStart w:id="214" w:name="_Toc235438283"/>
      <w:bookmarkStart w:id="215" w:name="_Toc255975018"/>
      <w:bookmarkStart w:id="216" w:name="_Toc254790911"/>
      <w:bookmarkStart w:id="217" w:name="_Toc235438000"/>
      <w:bookmarkStart w:id="218" w:name="_Toc259692751"/>
      <w:bookmarkStart w:id="219" w:name="_Toc213756059"/>
      <w:bookmarkStart w:id="220" w:name="_Toc219800251"/>
      <w:bookmarkStart w:id="221" w:name="_Toc249325722"/>
      <w:bookmarkStart w:id="222" w:name="_Toc230071155"/>
      <w:bookmarkStart w:id="223" w:name="_Toc251613841"/>
      <w:bookmarkStart w:id="224" w:name="_Toc223146616"/>
      <w:bookmarkStart w:id="225" w:name="_Toc225669330"/>
      <w:bookmarkStart w:id="226" w:name="_Toc266868681"/>
      <w:bookmarkStart w:id="227" w:name="_Toc258401267"/>
      <w:bookmarkStart w:id="228" w:name="_Toc253066626"/>
      <w:bookmarkStart w:id="229" w:name="_Toc217891410"/>
      <w:bookmarkStart w:id="230" w:name="_Toc259520876"/>
      <w:bookmarkStart w:id="231" w:name="_Toc235438354"/>
      <w:bookmarkStart w:id="232" w:name="_Toc259692658"/>
      <w:bookmarkStart w:id="233" w:name="_Toc227058538"/>
      <w:bookmarkStart w:id="234" w:name="_Toc266870443"/>
      <w:bookmarkStart w:id="235" w:name="_Toc232302124"/>
      <w:bookmarkStart w:id="236" w:name="_Toc266870918"/>
      <w:bookmarkStart w:id="237" w:name="_Toc251586243"/>
    </w:p>
    <w:p>
      <w:pPr>
        <w:jc w:val="center"/>
        <w:outlineLvl w:val="1"/>
        <w:rPr>
          <w:rFonts w:ascii="仿宋" w:hAnsi="仿宋" w:eastAsia="仿宋"/>
          <w:b/>
          <w:sz w:val="28"/>
          <w:szCs w:val="28"/>
        </w:rPr>
      </w:pPr>
      <w:r>
        <w:rPr>
          <w:rFonts w:ascii="仿宋" w:hAnsi="仿宋" w:eastAsia="仿宋"/>
          <w:sz w:val="28"/>
          <w:szCs w:val="28"/>
        </w:rPr>
        <w:br w:type="page"/>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重庆外语外事学院：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8" w:name="_Toc267060081"/>
      <w:bookmarkStart w:id="239" w:name="_Toc259692756"/>
      <w:bookmarkStart w:id="240" w:name="_Toc266868684"/>
      <w:bookmarkStart w:id="241" w:name="_Toc211917124"/>
      <w:bookmarkStart w:id="242" w:name="_Toc236021462"/>
      <w:bookmarkStart w:id="243" w:name="_Toc266870922"/>
      <w:bookmarkStart w:id="244" w:name="_Toc266870446"/>
      <w:bookmarkStart w:id="245" w:name="_Toc232302127"/>
      <w:bookmarkStart w:id="246" w:name="_Toc266870447"/>
      <w:bookmarkStart w:id="247" w:name="_Toc258401272"/>
      <w:bookmarkStart w:id="248" w:name="_Toc258401270"/>
      <w:bookmarkStart w:id="249" w:name="_Toc266868686"/>
      <w:bookmarkStart w:id="250" w:name="_Toc235438357"/>
      <w:bookmarkStart w:id="251" w:name="_Toc259520879"/>
      <w:bookmarkStart w:id="252" w:name="_Toc192663843"/>
      <w:bookmarkStart w:id="253" w:name="_Toc169332957"/>
      <w:bookmarkStart w:id="254" w:name="_Toc267060465"/>
      <w:bookmarkStart w:id="255" w:name="_Toc235438286"/>
      <w:bookmarkStart w:id="256" w:name="_Toc181436469"/>
      <w:bookmarkStart w:id="257" w:name="_Toc254790914"/>
      <w:bookmarkStart w:id="258" w:name="_Toc259692754"/>
      <w:bookmarkStart w:id="259" w:name="_Toc249325725"/>
      <w:bookmarkStart w:id="260" w:name="_Toc192996454"/>
      <w:bookmarkStart w:id="261" w:name="_Toc191789337"/>
      <w:bookmarkStart w:id="262" w:name="_Toc266870921"/>
      <w:bookmarkStart w:id="263" w:name="_Toc191783230"/>
      <w:bookmarkStart w:id="264" w:name="_Toc192664161"/>
      <w:bookmarkStart w:id="265" w:name="_Toc160880168"/>
      <w:bookmarkStart w:id="266" w:name="_Toc193165742"/>
      <w:bookmarkStart w:id="267" w:name="_Toc192663694"/>
      <w:bookmarkStart w:id="268" w:name="_Toc267060466"/>
      <w:bookmarkStart w:id="269" w:name="_Toc254790916"/>
      <w:bookmarkStart w:id="270" w:name="_Toc267060221"/>
      <w:bookmarkStart w:id="271" w:name="_Toc267060080"/>
      <w:bookmarkStart w:id="272" w:name="_Toc235438003"/>
      <w:bookmarkStart w:id="273" w:name="_Toc267060220"/>
      <w:bookmarkStart w:id="274" w:name="_Toc255975023"/>
      <w:bookmarkStart w:id="275" w:name="_Toc182805225"/>
      <w:bookmarkStart w:id="276" w:name="_Toc259692663"/>
      <w:bookmarkStart w:id="277" w:name="_Toc259520881"/>
      <w:bookmarkStart w:id="278" w:name="_Toc192996346"/>
      <w:bookmarkStart w:id="279" w:name="_Toc203355741"/>
      <w:bookmarkStart w:id="280" w:name="_Toc170798801"/>
      <w:bookmarkStart w:id="281" w:name="_Toc259692661"/>
      <w:bookmarkStart w:id="282" w:name="_Toc255975021"/>
      <w:bookmarkStart w:id="283" w:name="_Toc191803634"/>
      <w:bookmarkStart w:id="284" w:name="_Toc169332846"/>
      <w:bookmarkStart w:id="285" w:name="_Toc191802698"/>
      <w:bookmarkStart w:id="286" w:name="_Toc251613844"/>
      <w:bookmarkStart w:id="287" w:name="_Toc253066629"/>
      <w:bookmarkStart w:id="288" w:name="_Toc251586246"/>
      <w:bookmarkStart w:id="289" w:name="_Toc180302921"/>
      <w:bookmarkStart w:id="290" w:name="_Toc182372790"/>
      <w:bookmarkStart w:id="291" w:name="_Toc193160456"/>
      <w:bookmarkStart w:id="292" w:name="_Toc177985477"/>
      <w:bookmarkStart w:id="293" w:name="_Toc160880537"/>
      <w:bookmarkStart w:id="294" w:name="_Toc181436573"/>
    </w:p>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Pr>
        <w:spacing w:after="0" w:line="480" w:lineRule="exact"/>
        <w:ind w:firstLine="570"/>
        <w:jc w:val="center"/>
        <w:rPr>
          <w:rFonts w:ascii="仿宋" w:hAnsi="仿宋" w:eastAsia="仿宋"/>
          <w:b/>
          <w:bCs/>
          <w:sz w:val="28"/>
          <w:szCs w:val="28"/>
        </w:rPr>
      </w:pPr>
      <w:bookmarkStart w:id="295" w:name="_Toc266870840"/>
      <w:bookmarkStart w:id="296" w:name="_Toc255975024"/>
      <w:bookmarkStart w:id="297" w:name="_Toc253066630"/>
      <w:bookmarkStart w:id="298" w:name="_Toc267059659"/>
      <w:bookmarkStart w:id="299" w:name="_Toc266868944"/>
      <w:bookmarkStart w:id="300" w:name="_Toc259692757"/>
      <w:bookmarkStart w:id="301" w:name="_Toc267059036"/>
      <w:bookmarkStart w:id="302" w:name="_Toc249325726"/>
      <w:bookmarkStart w:id="303" w:name="_Toc251586247"/>
      <w:bookmarkStart w:id="304" w:name="_Toc235438287"/>
      <w:bookmarkStart w:id="305" w:name="_Toc251613845"/>
      <w:bookmarkStart w:id="306" w:name="_Toc258401273"/>
      <w:bookmarkStart w:id="307" w:name="_Toc266870448"/>
      <w:bookmarkStart w:id="308" w:name="_Toc266868687"/>
      <w:bookmarkStart w:id="309" w:name="_Toc259520882"/>
      <w:bookmarkStart w:id="310" w:name="_Toc267060467"/>
      <w:bookmarkStart w:id="311" w:name="_Toc267060222"/>
      <w:bookmarkStart w:id="312" w:name="_Toc266870923"/>
      <w:bookmarkStart w:id="313" w:name="_Toc232302128"/>
      <w:bookmarkStart w:id="314" w:name="_Toc267059545"/>
      <w:bookmarkStart w:id="315" w:name="_Toc273178704"/>
      <w:bookmarkStart w:id="316" w:name="_Toc267059187"/>
      <w:bookmarkStart w:id="317" w:name="_Toc235438004"/>
      <w:bookmarkStart w:id="318" w:name="_Toc267060327"/>
      <w:bookmarkStart w:id="319" w:name="_Toc235438358"/>
      <w:bookmarkStart w:id="320" w:name="_Toc259692664"/>
      <w:bookmarkStart w:id="321" w:name="_Toc254790917"/>
      <w:bookmarkStart w:id="322" w:name="_Toc267060082"/>
      <w:bookmarkStart w:id="323" w:name="_Toc267059812"/>
      <w:bookmarkStart w:id="324" w:name="_Toc267059925"/>
      <w:bookmarkStart w:id="325" w:name="_Toc236021463"/>
      <w:r>
        <w:rPr>
          <w:rFonts w:ascii="仿宋" w:hAnsi="仿宋" w:eastAsia="仿宋"/>
          <w:b/>
          <w:bCs/>
          <w:sz w:val="28"/>
          <w:szCs w:val="28"/>
        </w:rPr>
        <w:t>4.</w:t>
      </w:r>
      <w:r>
        <w:rPr>
          <w:rFonts w:hint="eastAsia" w:ascii="仿宋" w:hAnsi="仿宋" w:eastAsia="仿宋"/>
          <w:b/>
          <w:bCs/>
          <w:sz w:val="28"/>
          <w:szCs w:val="28"/>
        </w:rPr>
        <w:t>质保期和售后服务承诺书</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8"/>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r>
              <w:rPr>
                <w:b/>
                <w:bCs/>
                <w:sz w:val="24"/>
                <w:szCs w:val="24"/>
              </w:rPr>
              <w:t xml:space="preserve">        </w:t>
            </w:r>
          </w:p>
          <w:p>
            <w:pPr>
              <w:pStyle w:val="18"/>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8990" cy="463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8990" cy="463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inline distT="0" distB="0" distL="0" distR="0">
          <wp:extent cx="2078990" cy="463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4587C"/>
    <w:multiLevelType w:val="singleLevel"/>
    <w:tmpl w:val="C0C4587C"/>
    <w:lvl w:ilvl="0" w:tentative="0">
      <w:start w:val="1"/>
      <w:numFmt w:val="decimal"/>
      <w:lvlText w:val="%1."/>
      <w:lvlJc w:val="left"/>
      <w:pPr>
        <w:ind w:left="425" w:hanging="425"/>
      </w:pPr>
      <w:rPr>
        <w:rFonts w:hint="default"/>
      </w:rPr>
    </w:lvl>
  </w:abstractNum>
  <w:abstractNum w:abstractNumId="1">
    <w:nsid w:val="6C0DECD4"/>
    <w:multiLevelType w:val="singleLevel"/>
    <w:tmpl w:val="6C0DECD4"/>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06CF7"/>
    <w:rsid w:val="00012DA8"/>
    <w:rsid w:val="00015D63"/>
    <w:rsid w:val="000569E1"/>
    <w:rsid w:val="00074B20"/>
    <w:rsid w:val="00082572"/>
    <w:rsid w:val="000934D4"/>
    <w:rsid w:val="000A46B2"/>
    <w:rsid w:val="000C50DC"/>
    <w:rsid w:val="000F4F45"/>
    <w:rsid w:val="0013118F"/>
    <w:rsid w:val="001314A3"/>
    <w:rsid w:val="001561E9"/>
    <w:rsid w:val="00176CD4"/>
    <w:rsid w:val="00181267"/>
    <w:rsid w:val="00182C6E"/>
    <w:rsid w:val="001A5B43"/>
    <w:rsid w:val="001B719E"/>
    <w:rsid w:val="001C6943"/>
    <w:rsid w:val="00235C32"/>
    <w:rsid w:val="00244E90"/>
    <w:rsid w:val="00271EBE"/>
    <w:rsid w:val="002772BB"/>
    <w:rsid w:val="00282B6D"/>
    <w:rsid w:val="0028512D"/>
    <w:rsid w:val="002C2C3D"/>
    <w:rsid w:val="002C4297"/>
    <w:rsid w:val="002C7C04"/>
    <w:rsid w:val="002E71A2"/>
    <w:rsid w:val="00334E6F"/>
    <w:rsid w:val="0035580A"/>
    <w:rsid w:val="003570A0"/>
    <w:rsid w:val="003C0B6E"/>
    <w:rsid w:val="003C60EF"/>
    <w:rsid w:val="003D1D88"/>
    <w:rsid w:val="003E6439"/>
    <w:rsid w:val="003F20A6"/>
    <w:rsid w:val="003F603B"/>
    <w:rsid w:val="00401068"/>
    <w:rsid w:val="00404FA2"/>
    <w:rsid w:val="004242F4"/>
    <w:rsid w:val="0043243C"/>
    <w:rsid w:val="00441955"/>
    <w:rsid w:val="00447194"/>
    <w:rsid w:val="004B66B1"/>
    <w:rsid w:val="004F5A97"/>
    <w:rsid w:val="004F6183"/>
    <w:rsid w:val="00502F52"/>
    <w:rsid w:val="00506537"/>
    <w:rsid w:val="00582530"/>
    <w:rsid w:val="00590957"/>
    <w:rsid w:val="005A5A4D"/>
    <w:rsid w:val="005F1FC8"/>
    <w:rsid w:val="00613C70"/>
    <w:rsid w:val="00630374"/>
    <w:rsid w:val="00660EA6"/>
    <w:rsid w:val="006C3E7B"/>
    <w:rsid w:val="006F3C71"/>
    <w:rsid w:val="006F5FBA"/>
    <w:rsid w:val="00706A22"/>
    <w:rsid w:val="00721119"/>
    <w:rsid w:val="00745E01"/>
    <w:rsid w:val="007A5303"/>
    <w:rsid w:val="007B0382"/>
    <w:rsid w:val="007B0F09"/>
    <w:rsid w:val="007B2319"/>
    <w:rsid w:val="007F5072"/>
    <w:rsid w:val="00820C1F"/>
    <w:rsid w:val="00820F76"/>
    <w:rsid w:val="00865B30"/>
    <w:rsid w:val="00874219"/>
    <w:rsid w:val="008902DC"/>
    <w:rsid w:val="008946D0"/>
    <w:rsid w:val="00916532"/>
    <w:rsid w:val="00923C7E"/>
    <w:rsid w:val="00936704"/>
    <w:rsid w:val="009606BC"/>
    <w:rsid w:val="00967E57"/>
    <w:rsid w:val="00994E59"/>
    <w:rsid w:val="009D7BC5"/>
    <w:rsid w:val="00A148CE"/>
    <w:rsid w:val="00A1793B"/>
    <w:rsid w:val="00A24465"/>
    <w:rsid w:val="00A40610"/>
    <w:rsid w:val="00A4220E"/>
    <w:rsid w:val="00A44A63"/>
    <w:rsid w:val="00A46226"/>
    <w:rsid w:val="00A56796"/>
    <w:rsid w:val="00A64A5B"/>
    <w:rsid w:val="00A74D8D"/>
    <w:rsid w:val="00AD29A3"/>
    <w:rsid w:val="00AF3C2A"/>
    <w:rsid w:val="00B14C37"/>
    <w:rsid w:val="00B16DF1"/>
    <w:rsid w:val="00B542C0"/>
    <w:rsid w:val="00B54440"/>
    <w:rsid w:val="00B554E7"/>
    <w:rsid w:val="00B73A43"/>
    <w:rsid w:val="00BD49FB"/>
    <w:rsid w:val="00BD7232"/>
    <w:rsid w:val="00BE1921"/>
    <w:rsid w:val="00C035B5"/>
    <w:rsid w:val="00C66E1E"/>
    <w:rsid w:val="00C676BA"/>
    <w:rsid w:val="00C81AB4"/>
    <w:rsid w:val="00C857BF"/>
    <w:rsid w:val="00CE26E7"/>
    <w:rsid w:val="00D2102C"/>
    <w:rsid w:val="00D36D52"/>
    <w:rsid w:val="00D56DEA"/>
    <w:rsid w:val="00DF5D59"/>
    <w:rsid w:val="00E11567"/>
    <w:rsid w:val="00E3310A"/>
    <w:rsid w:val="00E33B9E"/>
    <w:rsid w:val="00E33C1C"/>
    <w:rsid w:val="00E4676A"/>
    <w:rsid w:val="00E7600F"/>
    <w:rsid w:val="00E95973"/>
    <w:rsid w:val="00EA6E91"/>
    <w:rsid w:val="00ED2437"/>
    <w:rsid w:val="00EE3803"/>
    <w:rsid w:val="00EF0B26"/>
    <w:rsid w:val="00F0149B"/>
    <w:rsid w:val="00F321A9"/>
    <w:rsid w:val="00F350DC"/>
    <w:rsid w:val="00F463D0"/>
    <w:rsid w:val="00F8646A"/>
    <w:rsid w:val="00F876DE"/>
    <w:rsid w:val="00FD6773"/>
    <w:rsid w:val="00FE196E"/>
    <w:rsid w:val="00FF1750"/>
    <w:rsid w:val="0BBC03F1"/>
    <w:rsid w:val="0CC52FD7"/>
    <w:rsid w:val="425F396C"/>
    <w:rsid w:val="61121E78"/>
    <w:rsid w:val="6B166620"/>
    <w:rsid w:val="7D94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Body Text Indent"/>
    <w:basedOn w:val="1"/>
    <w:link w:val="63"/>
    <w:semiHidden/>
    <w:unhideWhenUsed/>
    <w:qFormat/>
    <w:uiPriority w:val="99"/>
    <w:pPr>
      <w:spacing w:after="120"/>
      <w:ind w:left="420" w:leftChars="20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9"/>
    <w:unhideWhenUsed/>
    <w:qFormat/>
    <w:uiPriority w:val="0"/>
    <w:rPr>
      <w:rFonts w:hAnsi="Courier New" w:cs="Courier New" w:asciiTheme="minorEastAsia"/>
    </w:rPr>
  </w:style>
  <w:style w:type="paragraph" w:styleId="17">
    <w:name w:val="Balloon Text"/>
    <w:basedOn w:val="1"/>
    <w:link w:val="62"/>
    <w:semiHidden/>
    <w:unhideWhenUsed/>
    <w:qFormat/>
    <w:uiPriority w:val="99"/>
    <w:pPr>
      <w:spacing w:after="0" w:line="240" w:lineRule="auto"/>
    </w:pPr>
    <w:rPr>
      <w:sz w:val="18"/>
      <w:szCs w:val="18"/>
    </w:rPr>
  </w:style>
  <w:style w:type="paragraph" w:styleId="18">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2">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customStyle="1" w:styleId="30">
    <w:name w:val="标题 1 Char"/>
    <w:basedOn w:val="27"/>
    <w:link w:val="2"/>
    <w:qFormat/>
    <w:uiPriority w:val="9"/>
    <w:rPr>
      <w:rFonts w:asciiTheme="majorHAnsi" w:hAnsiTheme="majorHAnsi" w:eastAsiaTheme="majorEastAsia" w:cstheme="majorBidi"/>
      <w:b/>
      <w:bCs/>
      <w:caps/>
      <w:spacing w:val="4"/>
      <w:sz w:val="28"/>
      <w:szCs w:val="28"/>
    </w:rPr>
  </w:style>
  <w:style w:type="character" w:customStyle="1" w:styleId="31">
    <w:name w:val="标题 2 Char"/>
    <w:basedOn w:val="27"/>
    <w:link w:val="3"/>
    <w:semiHidden/>
    <w:qFormat/>
    <w:uiPriority w:val="9"/>
    <w:rPr>
      <w:rFonts w:asciiTheme="majorHAnsi" w:hAnsiTheme="majorHAnsi" w:eastAsiaTheme="majorEastAsia" w:cstheme="majorBidi"/>
      <w:b/>
      <w:bCs/>
      <w:sz w:val="28"/>
      <w:szCs w:val="28"/>
    </w:rPr>
  </w:style>
  <w:style w:type="character" w:customStyle="1" w:styleId="32">
    <w:name w:val="标题 3 Char"/>
    <w:basedOn w:val="27"/>
    <w:link w:val="4"/>
    <w:semiHidden/>
    <w:qFormat/>
    <w:uiPriority w:val="9"/>
    <w:rPr>
      <w:rFonts w:asciiTheme="majorHAnsi" w:hAnsiTheme="majorHAnsi" w:eastAsiaTheme="majorEastAsia" w:cstheme="majorBidi"/>
      <w:spacing w:val="4"/>
      <w:sz w:val="24"/>
      <w:szCs w:val="24"/>
    </w:rPr>
  </w:style>
  <w:style w:type="character" w:customStyle="1" w:styleId="33">
    <w:name w:val="标题 4 Char"/>
    <w:basedOn w:val="27"/>
    <w:link w:val="5"/>
    <w:semiHidden/>
    <w:qFormat/>
    <w:uiPriority w:val="9"/>
    <w:rPr>
      <w:rFonts w:asciiTheme="majorHAnsi" w:hAnsiTheme="majorHAnsi" w:eastAsiaTheme="majorEastAsia" w:cstheme="majorBidi"/>
      <w:i/>
      <w:iCs/>
      <w:sz w:val="24"/>
      <w:szCs w:val="24"/>
    </w:rPr>
  </w:style>
  <w:style w:type="character" w:customStyle="1" w:styleId="34">
    <w:name w:val="标题 5 Char"/>
    <w:basedOn w:val="27"/>
    <w:link w:val="6"/>
    <w:semiHidden/>
    <w:qFormat/>
    <w:uiPriority w:val="9"/>
    <w:rPr>
      <w:rFonts w:asciiTheme="majorHAnsi" w:hAnsiTheme="majorHAnsi" w:eastAsiaTheme="majorEastAsia" w:cstheme="majorBidi"/>
      <w:b/>
      <w:bCs/>
    </w:rPr>
  </w:style>
  <w:style w:type="character" w:customStyle="1" w:styleId="35">
    <w:name w:val="标题 6 Char"/>
    <w:basedOn w:val="27"/>
    <w:link w:val="7"/>
    <w:semiHidden/>
    <w:qFormat/>
    <w:uiPriority w:val="9"/>
    <w:rPr>
      <w:rFonts w:asciiTheme="majorHAnsi" w:hAnsiTheme="majorHAnsi" w:eastAsiaTheme="majorEastAsia" w:cstheme="majorBidi"/>
      <w:b/>
      <w:bCs/>
      <w:i/>
      <w:iCs/>
    </w:rPr>
  </w:style>
  <w:style w:type="character" w:customStyle="1" w:styleId="36">
    <w:name w:val="标题 7 Char"/>
    <w:basedOn w:val="27"/>
    <w:link w:val="8"/>
    <w:semiHidden/>
    <w:qFormat/>
    <w:uiPriority w:val="9"/>
    <w:rPr>
      <w:i/>
      <w:iCs/>
    </w:rPr>
  </w:style>
  <w:style w:type="character" w:customStyle="1" w:styleId="37">
    <w:name w:val="标题 8 Char"/>
    <w:basedOn w:val="27"/>
    <w:link w:val="9"/>
    <w:semiHidden/>
    <w:qFormat/>
    <w:uiPriority w:val="9"/>
    <w:rPr>
      <w:b/>
      <w:bCs/>
    </w:rPr>
  </w:style>
  <w:style w:type="character" w:customStyle="1" w:styleId="38">
    <w:name w:val="标题 9 Char"/>
    <w:basedOn w:val="27"/>
    <w:link w:val="10"/>
    <w:semiHidden/>
    <w:qFormat/>
    <w:uiPriority w:val="9"/>
    <w:rPr>
      <w:i/>
      <w:iCs/>
    </w:rPr>
  </w:style>
  <w:style w:type="character" w:customStyle="1" w:styleId="39">
    <w:name w:val="标题 Char"/>
    <w:basedOn w:val="27"/>
    <w:link w:val="24"/>
    <w:qFormat/>
    <w:uiPriority w:val="10"/>
    <w:rPr>
      <w:rFonts w:asciiTheme="majorHAnsi" w:hAnsiTheme="majorHAnsi" w:eastAsiaTheme="majorEastAsia" w:cstheme="majorBidi"/>
      <w:b/>
      <w:bCs/>
      <w:spacing w:val="-7"/>
      <w:sz w:val="48"/>
      <w:szCs w:val="48"/>
    </w:rPr>
  </w:style>
  <w:style w:type="character" w:customStyle="1" w:styleId="40">
    <w:name w:val="副标题 Char"/>
    <w:basedOn w:val="27"/>
    <w:link w:val="21"/>
    <w:qFormat/>
    <w:uiPriority w:val="11"/>
    <w:rPr>
      <w:rFonts w:asciiTheme="majorHAnsi" w:hAnsiTheme="majorHAnsi" w:eastAsiaTheme="majorEastAsia" w:cstheme="majorBidi"/>
      <w:sz w:val="24"/>
      <w:szCs w:val="24"/>
    </w:rPr>
  </w:style>
  <w:style w:type="paragraph" w:styleId="41">
    <w:name w:val="No Spacing"/>
    <w:link w:val="52"/>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Char"/>
    <w:basedOn w:val="27"/>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Char"/>
    <w:basedOn w:val="27"/>
    <w:link w:val="44"/>
    <w:qFormat/>
    <w:uiPriority w:val="30"/>
    <w:rPr>
      <w:rFonts w:asciiTheme="majorHAnsi" w:hAnsiTheme="majorHAnsi" w:eastAsiaTheme="majorEastAsia" w:cstheme="majorBidi"/>
      <w:sz w:val="26"/>
      <w:szCs w:val="26"/>
    </w:rPr>
  </w:style>
  <w:style w:type="character" w:customStyle="1" w:styleId="46">
    <w:name w:val="Subtle Emphasis"/>
    <w:basedOn w:val="27"/>
    <w:qFormat/>
    <w:uiPriority w:val="19"/>
    <w:rPr>
      <w:i/>
      <w:iCs/>
      <w:color w:val="auto"/>
    </w:rPr>
  </w:style>
  <w:style w:type="character" w:customStyle="1" w:styleId="47">
    <w:name w:val="Intense Emphasis"/>
    <w:basedOn w:val="27"/>
    <w:qFormat/>
    <w:uiPriority w:val="21"/>
    <w:rPr>
      <w:b/>
      <w:bCs/>
      <w:i/>
      <w:iCs/>
      <w:color w:val="auto"/>
    </w:rPr>
  </w:style>
  <w:style w:type="character" w:customStyle="1" w:styleId="48">
    <w:name w:val="Subtle Reference"/>
    <w:basedOn w:val="27"/>
    <w:qFormat/>
    <w:uiPriority w:val="31"/>
    <w:rPr>
      <w:smallCaps/>
      <w:color w:val="auto"/>
      <w:u w:val="single" w:color="7E7E7E" w:themeColor="text1" w:themeTint="80"/>
    </w:rPr>
  </w:style>
  <w:style w:type="character" w:customStyle="1" w:styleId="49">
    <w:name w:val="Intense Reference"/>
    <w:basedOn w:val="27"/>
    <w:qFormat/>
    <w:uiPriority w:val="32"/>
    <w:rPr>
      <w:b/>
      <w:bCs/>
      <w:smallCaps/>
      <w:color w:val="auto"/>
      <w:u w:val="single"/>
    </w:rPr>
  </w:style>
  <w:style w:type="character" w:customStyle="1" w:styleId="50">
    <w:name w:val="Book Title"/>
    <w:basedOn w:val="27"/>
    <w:qFormat/>
    <w:uiPriority w:val="33"/>
    <w:rPr>
      <w:b/>
      <w:bCs/>
      <w:smallCaps/>
      <w:color w:val="auto"/>
    </w:rPr>
  </w:style>
  <w:style w:type="paragraph" w:customStyle="1" w:styleId="51">
    <w:name w:val="TOC Heading"/>
    <w:basedOn w:val="2"/>
    <w:next w:val="1"/>
    <w:unhideWhenUsed/>
    <w:qFormat/>
    <w:uiPriority w:val="39"/>
    <w:pPr>
      <w:outlineLvl w:val="9"/>
    </w:pPr>
  </w:style>
  <w:style w:type="character" w:customStyle="1" w:styleId="52">
    <w:name w:val="无间隔 Char"/>
    <w:basedOn w:val="27"/>
    <w:link w:val="41"/>
    <w:qFormat/>
    <w:uiPriority w:val="1"/>
  </w:style>
  <w:style w:type="paragraph" w:customStyle="1" w:styleId="53">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4">
    <w:name w:val="页眉 Char"/>
    <w:basedOn w:val="27"/>
    <w:link w:val="19"/>
    <w:qFormat/>
    <w:uiPriority w:val="99"/>
    <w:rPr>
      <w:sz w:val="18"/>
      <w:szCs w:val="18"/>
    </w:rPr>
  </w:style>
  <w:style w:type="character" w:customStyle="1" w:styleId="55">
    <w:name w:val="页脚 Char"/>
    <w:basedOn w:val="27"/>
    <w:link w:val="18"/>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Char"/>
    <w:basedOn w:val="27"/>
    <w:link w:val="22"/>
    <w:qFormat/>
    <w:uiPriority w:val="0"/>
    <w:rPr>
      <w:rFonts w:ascii="Times New Roman" w:hAnsi="Times New Roman" w:eastAsia="宋体" w:cs="Times New Roman"/>
      <w:kern w:val="2"/>
      <w:sz w:val="16"/>
      <w:szCs w:val="16"/>
    </w:rPr>
  </w:style>
  <w:style w:type="paragraph" w:customStyle="1" w:styleId="58">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Char1"/>
    <w:basedOn w:val="27"/>
    <w:link w:val="16"/>
    <w:semiHidden/>
    <w:qFormat/>
    <w:uiPriority w:val="99"/>
    <w:rPr>
      <w:rFonts w:hAnsi="Courier New" w:cs="Courier New" w:asciiTheme="minorEastAsia"/>
    </w:rPr>
  </w:style>
  <w:style w:type="character" w:customStyle="1" w:styleId="60">
    <w:name w:val="正文文本 Char"/>
    <w:basedOn w:val="27"/>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批注框文本 Char"/>
    <w:basedOn w:val="27"/>
    <w:link w:val="17"/>
    <w:semiHidden/>
    <w:qFormat/>
    <w:uiPriority w:val="99"/>
    <w:rPr>
      <w:sz w:val="18"/>
      <w:szCs w:val="18"/>
    </w:rPr>
  </w:style>
  <w:style w:type="character" w:customStyle="1" w:styleId="63">
    <w:name w:val="正文文本缩进 Char"/>
    <w:basedOn w:val="27"/>
    <w:link w:val="14"/>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jpeg"/><Relationship Id="rId15" Type="http://schemas.openxmlformats.org/officeDocument/2006/relationships/theme" Target="theme/theme1.xml"/><Relationship Id="rId14" Type="http://schemas.openxmlformats.org/officeDocument/2006/relationships/footer" Target="footer2.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483C4-EBD8-430D-B7F5-7458CD110B60}">
  <ds:schemaRefs/>
</ds:datastoreItem>
</file>

<file path=docProps/app.xml><?xml version="1.0" encoding="utf-8"?>
<Properties xmlns="http://schemas.openxmlformats.org/officeDocument/2006/extended-properties" xmlns:vt="http://schemas.openxmlformats.org/officeDocument/2006/docPropsVTypes">
  <Template>Normal</Template>
  <Pages>13</Pages>
  <Words>637</Words>
  <Characters>3633</Characters>
  <Lines>30</Lines>
  <Paragraphs>8</Paragraphs>
  <TotalTime>2</TotalTime>
  <ScaleCrop>false</ScaleCrop>
  <LinksUpToDate>false</LinksUpToDate>
  <CharactersWithSpaces>4262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2021-07-23T01:39:00Z</dcterms:created>
  <dc:creator>树亮 门</dc:creator>
  <cp:lastModifiedBy>刘轩辰</cp:lastModifiedBy>
  <cp:lastPrinted>2020-05-29T09:30:00Z</cp:lastPrinted>
  <dcterms:modified xsi:type="dcterms:W3CDTF">2021-07-28T17:51:00Z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BB2C451538E0432C9866C4D512D1ADDB</vt:lpwstr>
  </property>
</Properties>
</file>