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仿宋" w:hAnsi="仿宋" w:eastAsia="仿宋"/>
          <w:b/>
          <w:color w:val="000000" w:themeColor="text1"/>
          <w:sz w:val="44"/>
          <w:szCs w:val="44"/>
          <w14:textFill>
            <w14:solidFill>
              <w14:schemeClr w14:val="tx1"/>
            </w14:solidFill>
          </w14:textFill>
        </w:rPr>
      </w:pPr>
      <w:bookmarkStart w:id="0" w:name="_Hlk38472698"/>
      <w:r>
        <w:drawing>
          <wp:inline distT="0" distB="0" distL="0" distR="0">
            <wp:extent cx="5941060" cy="1324610"/>
            <wp:effectExtent l="0" t="0" r="254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inline>
        </w:drawing>
      </w:r>
    </w:p>
    <w:p>
      <w:pPr>
        <w:spacing w:line="1000" w:lineRule="exact"/>
        <w:jc w:val="center"/>
        <w:rPr>
          <w:rFonts w:hint="default" w:ascii="仿宋" w:hAnsi="仿宋" w:eastAsia="仿宋"/>
          <w:b/>
          <w:color w:val="000000" w:themeColor="text1"/>
          <w:sz w:val="52"/>
          <w:szCs w:val="52"/>
          <w:lang w:val="en-US" w:eastAsia="zh-CN"/>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关于迎新车辆外包服务</w:t>
      </w:r>
      <w:r>
        <w:rPr>
          <w:rFonts w:hint="eastAsia" w:ascii="仿宋" w:hAnsi="仿宋" w:eastAsia="仿宋"/>
          <w:b/>
          <w:color w:val="000000" w:themeColor="text1"/>
          <w:sz w:val="52"/>
          <w:szCs w:val="52"/>
          <w:lang w:val="en-US" w:eastAsia="zh-CN"/>
          <w14:textFill>
            <w14:solidFill>
              <w14:schemeClr w14:val="tx1"/>
            </w14:solidFill>
          </w14:textFill>
        </w:rPr>
        <w:t>项目</w:t>
      </w:r>
    </w:p>
    <w:bookmarkEnd w:id="0"/>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公</w:t>
      </w:r>
    </w:p>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开</w:t>
      </w:r>
    </w:p>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询</w:t>
      </w:r>
    </w:p>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价</w:t>
      </w:r>
    </w:p>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邀</w:t>
      </w:r>
    </w:p>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请</w:t>
      </w:r>
    </w:p>
    <w:p>
      <w:pPr>
        <w:spacing w:line="900" w:lineRule="exact"/>
        <w:jc w:val="center"/>
        <w:rPr>
          <w:rFonts w:hint="eastAsia"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函</w:t>
      </w:r>
    </w:p>
    <w:p>
      <w:pPr>
        <w:spacing w:line="500" w:lineRule="exact"/>
        <w:ind w:firstLine="1807" w:firstLineChars="500"/>
        <w:rPr>
          <w:rFonts w:hint="default" w:ascii="仿宋" w:hAnsi="仿宋" w:eastAsia="仿宋"/>
          <w:b/>
          <w:sz w:val="36"/>
          <w:szCs w:val="36"/>
          <w:lang w:val="en-US" w:eastAsia="zh-CN"/>
        </w:rPr>
      </w:pPr>
      <w:r>
        <w:rPr>
          <w:rFonts w:hint="eastAsia" w:ascii="仿宋" w:hAnsi="仿宋" w:eastAsia="仿宋"/>
          <w:b/>
          <w:sz w:val="36"/>
          <w:szCs w:val="36"/>
        </w:rPr>
        <w:t>项目编号：</w:t>
      </w:r>
      <w:bookmarkStart w:id="1" w:name="_Toc169332792"/>
      <w:bookmarkStart w:id="2" w:name="_Toc160880118"/>
      <w:bookmarkStart w:id="3" w:name="_Toc160880485"/>
      <w:r>
        <w:rPr>
          <w:rFonts w:hint="eastAsia" w:ascii="仿宋" w:hAnsi="仿宋" w:eastAsia="仿宋"/>
          <w:b/>
          <w:sz w:val="36"/>
          <w:szCs w:val="36"/>
        </w:rPr>
        <w:t>ZWC-20210</w:t>
      </w:r>
      <w:r>
        <w:rPr>
          <w:rFonts w:hint="eastAsia" w:ascii="仿宋" w:hAnsi="仿宋" w:eastAsia="仿宋"/>
          <w:b/>
          <w:sz w:val="36"/>
          <w:szCs w:val="36"/>
          <w:lang w:val="en-US" w:eastAsia="zh-CN"/>
        </w:rPr>
        <w:t>50</w:t>
      </w:r>
    </w:p>
    <w:p>
      <w:pPr>
        <w:spacing w:line="500" w:lineRule="exact"/>
        <w:ind w:firstLine="1807" w:firstLineChars="500"/>
        <w:rPr>
          <w:rFonts w:hint="eastAsia" w:ascii="仿宋" w:hAnsi="仿宋" w:eastAsia="仿宋"/>
          <w:b/>
          <w:sz w:val="36"/>
          <w:szCs w:val="36"/>
          <w:lang w:val="en-US" w:eastAsia="zh-CN"/>
        </w:rPr>
      </w:pPr>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：迎新车辆外包服务项目</w:t>
      </w: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pacing w:line="500" w:lineRule="exact"/>
        <w:ind w:firstLine="2849" w:firstLineChars="645"/>
        <w:rPr>
          <w:rFonts w:ascii="仿宋" w:hAnsi="仿宋" w:eastAsia="仿宋"/>
          <w:b/>
          <w:sz w:val="44"/>
          <w:szCs w:val="44"/>
        </w:rPr>
      </w:pPr>
      <w:bookmarkStart w:id="4" w:name="_Hlk67754059"/>
      <w:r>
        <w:rPr>
          <w:rFonts w:hint="eastAsia" w:ascii="仿宋" w:hAnsi="仿宋" w:eastAsia="仿宋"/>
          <w:b/>
          <w:sz w:val="44"/>
          <w:szCs w:val="44"/>
        </w:rPr>
        <w:t>一、询价邀请函</w:t>
      </w:r>
    </w:p>
    <w:bookmarkEnd w:id="4"/>
    <w:p>
      <w:pPr>
        <w:spacing w:after="0" w:line="500" w:lineRule="exact"/>
        <w:ind w:firstLine="560" w:firstLineChars="200"/>
        <w:rPr>
          <w:rFonts w:ascii="仿宋" w:hAnsi="仿宋" w:eastAsia="仿宋"/>
          <w:sz w:val="28"/>
          <w:szCs w:val="28"/>
        </w:rPr>
      </w:pPr>
      <w:bookmarkStart w:id="5" w:name="_Hlk10840310"/>
      <w:r>
        <w:rPr>
          <w:rFonts w:hint="eastAsia" w:ascii="仿宋" w:hAnsi="仿宋" w:eastAsia="仿宋"/>
          <w:sz w:val="28"/>
          <w:szCs w:val="28"/>
        </w:rPr>
        <w:t>重庆外语外事学院始建于2001年，是纳入国家普通高等教育招生计划、具有学士学位授予权的全日制普通本科高等学校。学校占地面积1572亩，学生规模约1.5万人。根据需要</w:t>
      </w:r>
      <w:r>
        <w:rPr>
          <w:rFonts w:hint="eastAsia" w:ascii="仿宋" w:hAnsi="仿宋" w:eastAsia="仿宋"/>
          <w:sz w:val="28"/>
          <w:szCs w:val="28"/>
          <w:lang w:val="en-US" w:eastAsia="zh-CN"/>
        </w:rPr>
        <w:t>对</w:t>
      </w:r>
      <w:r>
        <w:rPr>
          <w:rFonts w:hint="eastAsia" w:ascii="仿宋" w:hAnsi="仿宋" w:eastAsia="仿宋"/>
          <w:sz w:val="28"/>
          <w:szCs w:val="28"/>
        </w:rPr>
        <w:t>迎新车辆外包服务项目进行公开询价，欢迎国内合格参与人参与。</w:t>
      </w:r>
    </w:p>
    <w:p>
      <w:pPr>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一、项目说明</w:t>
      </w:r>
    </w:p>
    <w:p>
      <w:pPr>
        <w:widowControl w:val="0"/>
        <w:tabs>
          <w:tab w:val="left" w:pos="839"/>
          <w:tab w:val="left" w:pos="1469"/>
        </w:tabs>
        <w:spacing w:after="0" w:line="500" w:lineRule="exac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项目编号：ZWC-20210</w:t>
      </w:r>
      <w:r>
        <w:rPr>
          <w:rFonts w:hint="eastAsia" w:ascii="仿宋" w:hAnsi="仿宋" w:eastAsia="仿宋"/>
          <w:color w:val="000000" w:themeColor="text1"/>
          <w:sz w:val="28"/>
          <w:szCs w:val="28"/>
          <w:lang w:val="en-US" w:eastAsia="zh-CN"/>
          <w14:textFill>
            <w14:solidFill>
              <w14:schemeClr w14:val="tx1"/>
            </w14:solidFill>
          </w14:textFill>
        </w:rPr>
        <w:t>50</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项目名称：迎新车辆外包服务项目</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数量及主要技术要求:详见《公开询价一览表》</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参与人资格标准：</w:t>
      </w:r>
      <w:r>
        <w:rPr>
          <w:rFonts w:ascii="仿宋" w:hAnsi="仿宋" w:eastAsia="仿宋"/>
          <w:color w:val="000000" w:themeColor="text1"/>
          <w:sz w:val="28"/>
          <w:szCs w:val="28"/>
          <w14:textFill>
            <w14:solidFill>
              <w14:schemeClr w14:val="tx1"/>
            </w14:solidFill>
          </w14:textFill>
        </w:rPr>
        <w:t xml:space="preserve"> </w:t>
      </w:r>
    </w:p>
    <w:p>
      <w:pPr>
        <w:widowControl w:val="0"/>
        <w:tabs>
          <w:tab w:val="left" w:pos="839"/>
          <w:tab w:val="left" w:pos="1469"/>
        </w:tabs>
        <w:spacing w:after="0" w:line="500" w:lineRule="exact"/>
        <w:rPr>
          <w:rFonts w:ascii="仿宋" w:hAnsi="仿宋" w:eastAsia="仿宋"/>
          <w:color w:val="auto"/>
          <w:sz w:val="28"/>
          <w:szCs w:val="28"/>
        </w:rPr>
      </w:pPr>
      <w:r>
        <w:rPr>
          <w:rFonts w:hint="eastAsia" w:ascii="仿宋" w:hAnsi="仿宋" w:eastAsia="仿宋"/>
          <w:color w:val="auto"/>
          <w:sz w:val="28"/>
          <w:szCs w:val="28"/>
        </w:rPr>
        <w:t>（1）参与人应具有独立法人资格，具有</w:t>
      </w:r>
      <w:r>
        <w:rPr>
          <w:rFonts w:hint="eastAsia" w:ascii="仿宋" w:hAnsi="仿宋" w:eastAsia="仿宋"/>
          <w:color w:val="auto"/>
          <w:sz w:val="28"/>
          <w:szCs w:val="28"/>
          <w:lang w:val="en-US" w:eastAsia="zh-CN"/>
        </w:rPr>
        <w:t>履行本项目所需设备和专业技术能力</w:t>
      </w:r>
      <w:r>
        <w:rPr>
          <w:rFonts w:hint="eastAsia" w:ascii="仿宋" w:hAnsi="仿宋" w:eastAsia="仿宋"/>
          <w:color w:val="auto"/>
          <w:sz w:val="28"/>
          <w:szCs w:val="28"/>
        </w:rPr>
        <w:t>。</w:t>
      </w:r>
    </w:p>
    <w:p>
      <w:pPr>
        <w:widowControl w:val="0"/>
        <w:tabs>
          <w:tab w:val="left" w:pos="839"/>
          <w:tab w:val="left" w:pos="1469"/>
        </w:tabs>
        <w:spacing w:after="0" w:line="500" w:lineRule="exact"/>
        <w:rPr>
          <w:rFonts w:ascii="仿宋" w:hAnsi="仿宋" w:eastAsia="仿宋"/>
          <w:color w:val="auto"/>
          <w:sz w:val="28"/>
          <w:szCs w:val="28"/>
        </w:rPr>
      </w:pPr>
      <w:r>
        <w:rPr>
          <w:rFonts w:hint="eastAsia" w:ascii="仿宋" w:hAnsi="仿宋" w:eastAsia="仿宋"/>
          <w:color w:val="auto"/>
          <w:sz w:val="28"/>
          <w:szCs w:val="28"/>
        </w:rPr>
        <w:t>（2）参与人应由</w:t>
      </w:r>
      <w:r>
        <w:rPr>
          <w:rFonts w:hint="eastAsia" w:ascii="仿宋" w:hAnsi="仿宋" w:eastAsia="仿宋"/>
          <w:color w:val="auto"/>
          <w:sz w:val="28"/>
          <w:szCs w:val="28"/>
          <w:lang w:val="en-US" w:eastAsia="zh-CN"/>
        </w:rPr>
        <w:t>具备</w:t>
      </w:r>
      <w:r>
        <w:rPr>
          <w:rFonts w:hint="eastAsia" w:ascii="仿宋" w:hAnsi="仿宋" w:eastAsia="仿宋"/>
          <w:color w:val="auto"/>
          <w:sz w:val="28"/>
          <w:szCs w:val="28"/>
        </w:rPr>
        <w:t>道路运输行业主管部门核发的《道路运输经营许可证》，同时具备县内包车，县际包车，省际包车客运资质。</w:t>
      </w:r>
    </w:p>
    <w:p>
      <w:pPr>
        <w:widowControl w:val="0"/>
        <w:tabs>
          <w:tab w:val="left" w:pos="839"/>
          <w:tab w:val="left" w:pos="1469"/>
        </w:tabs>
        <w:spacing w:after="0" w:line="500" w:lineRule="exac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widowControl w:val="0"/>
        <w:tabs>
          <w:tab w:val="left" w:pos="839"/>
          <w:tab w:val="left" w:pos="1469"/>
        </w:tabs>
        <w:spacing w:after="0" w:line="500" w:lineRule="exac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两</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两</w:t>
      </w:r>
      <w:r>
        <w:rPr>
          <w:rFonts w:hint="eastAsia" w:ascii="仿宋" w:hAnsi="仿宋" w:eastAsia="仿宋"/>
          <w:color w:val="auto"/>
          <w:sz w:val="28"/>
          <w:szCs w:val="28"/>
        </w:rPr>
        <w:t>年）3个以上同类项目销售和良好的售后服务应用成功案例（提供文字或图片),近三年未发生重大安全或质量事故。</w:t>
      </w:r>
    </w:p>
    <w:p>
      <w:pPr>
        <w:widowControl w:val="0"/>
        <w:tabs>
          <w:tab w:val="left" w:pos="839"/>
          <w:tab w:val="left" w:pos="1469"/>
        </w:tabs>
        <w:spacing w:after="0" w:line="500" w:lineRule="exac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widowControl w:val="0"/>
        <w:tabs>
          <w:tab w:val="left" w:pos="839"/>
          <w:tab w:val="left" w:pos="1469"/>
        </w:tabs>
        <w:spacing w:after="0" w:line="500" w:lineRule="exact"/>
        <w:rPr>
          <w:rFonts w:ascii="仿宋" w:hAnsi="仿宋" w:eastAsia="仿宋"/>
          <w:color w:val="auto"/>
          <w:sz w:val="28"/>
          <w:szCs w:val="28"/>
        </w:rPr>
      </w:pPr>
      <w:r>
        <w:rPr>
          <w:rFonts w:hint="eastAsia" w:ascii="仿宋" w:hAnsi="仿宋" w:eastAsia="仿宋"/>
          <w:color w:val="auto"/>
          <w:sz w:val="28"/>
          <w:szCs w:val="28"/>
        </w:rPr>
        <w:t>（6）参与人有依法缴纳税金的良好记录。</w:t>
      </w:r>
    </w:p>
    <w:p>
      <w:pPr>
        <w:pStyle w:val="62"/>
        <w:spacing w:after="0" w:line="400" w:lineRule="exact"/>
        <w:ind w:left="709" w:hanging="709" w:firstLineChars="0"/>
        <w:jc w:val="left"/>
        <w:rPr>
          <w:rFonts w:ascii="仿宋" w:hAnsi="仿宋" w:eastAsia="仿宋"/>
          <w:color w:val="auto"/>
          <w:sz w:val="28"/>
          <w:szCs w:val="28"/>
        </w:rPr>
      </w:pPr>
      <w:r>
        <w:rPr>
          <w:rFonts w:hint="eastAsia" w:ascii="仿宋" w:hAnsi="仿宋" w:eastAsia="仿宋"/>
          <w:color w:val="auto"/>
          <w:sz w:val="28"/>
          <w:szCs w:val="28"/>
        </w:rPr>
        <w:t>（7）参与人应提供下列资格证明文件，否则其响应文件将被拒绝：</w:t>
      </w:r>
    </w:p>
    <w:p>
      <w:pPr>
        <w:widowControl w:val="0"/>
        <w:tabs>
          <w:tab w:val="left" w:pos="839"/>
          <w:tab w:val="left" w:pos="1469"/>
        </w:tabs>
        <w:spacing w:after="0" w:line="500" w:lineRule="exact"/>
        <w:ind w:left="660" w:leftChars="300"/>
        <w:rPr>
          <w:rFonts w:ascii="仿宋" w:hAnsi="仿宋" w:eastAsia="仿宋"/>
          <w:color w:val="auto"/>
          <w:sz w:val="28"/>
          <w:szCs w:val="28"/>
        </w:rPr>
      </w:pPr>
      <w:r>
        <w:rPr>
          <w:rFonts w:hint="eastAsia" w:ascii="仿宋" w:hAnsi="仿宋" w:eastAsia="仿宋"/>
          <w:color w:val="auto"/>
          <w:sz w:val="28"/>
          <w:szCs w:val="28"/>
        </w:rPr>
        <w:t>1）营业执照副本、税务登记证副本、组织机构代码证副本(三证合一的只需提供带有社会信用代码的营业执照)；</w:t>
      </w:r>
    </w:p>
    <w:p>
      <w:pPr>
        <w:widowControl w:val="0"/>
        <w:tabs>
          <w:tab w:val="left" w:pos="839"/>
          <w:tab w:val="left" w:pos="1469"/>
        </w:tabs>
        <w:spacing w:after="0" w:line="500" w:lineRule="exact"/>
        <w:ind w:left="660" w:leftChars="300"/>
        <w:rPr>
          <w:rFonts w:ascii="仿宋" w:hAnsi="仿宋" w:eastAsia="仿宋"/>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）2020年公司财务纳税证明；</w:t>
      </w:r>
    </w:p>
    <w:p>
      <w:pPr>
        <w:widowControl w:val="0"/>
        <w:tabs>
          <w:tab w:val="left" w:pos="839"/>
          <w:tab w:val="left" w:pos="1469"/>
        </w:tabs>
        <w:spacing w:after="0" w:line="500" w:lineRule="exact"/>
        <w:ind w:left="660" w:leftChars="300"/>
        <w:rPr>
          <w:rFonts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）社会保障资金的缴纳记录证明。</w:t>
      </w:r>
    </w:p>
    <w:p>
      <w:pPr>
        <w:spacing w:after="0" w:line="400" w:lineRule="exact"/>
        <w:rPr>
          <w:rFonts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参与人提交的以上要求的文件或证明的复印件应是最新（有效）、清晰，注明“与原件一致”并加盖参与人公章，并有原件备查。</w:t>
      </w:r>
    </w:p>
    <w:p>
      <w:pPr>
        <w:widowControl w:val="0"/>
        <w:tabs>
          <w:tab w:val="left" w:pos="839"/>
          <w:tab w:val="left" w:pos="1469"/>
        </w:tabs>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报价响应文件递交方式：</w:t>
      </w:r>
      <w:r>
        <w:rPr>
          <w:rFonts w:hint="eastAsia" w:ascii="仿宋" w:hAnsi="仿宋" w:eastAsia="仿宋"/>
          <w:b/>
          <w:bCs/>
          <w:sz w:val="28"/>
          <w:szCs w:val="28"/>
        </w:rPr>
        <w:t>密封报价并现场报送</w:t>
      </w:r>
      <w:r>
        <w:rPr>
          <w:rFonts w:hint="eastAsia" w:ascii="仿宋" w:hAnsi="仿宋" w:eastAsia="仿宋"/>
          <w:sz w:val="28"/>
          <w:szCs w:val="28"/>
        </w:rPr>
        <w:t>。</w:t>
      </w:r>
    </w:p>
    <w:p>
      <w:pPr>
        <w:widowControl w:val="0"/>
        <w:tabs>
          <w:tab w:val="left" w:pos="839"/>
          <w:tab w:val="left" w:pos="1469"/>
        </w:tabs>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报价响应文件递交截止时间</w:t>
      </w:r>
      <w:r>
        <w:rPr>
          <w:rFonts w:hint="eastAsia" w:ascii="仿宋" w:hAnsi="仿宋" w:eastAsia="仿宋"/>
          <w:color w:val="000000" w:themeColor="text1"/>
          <w:sz w:val="28"/>
          <w:szCs w:val="28"/>
          <w:shd w:val="clear" w:color="auto" w:fill="FFFFFF"/>
          <w14:textFill>
            <w14:solidFill>
              <w14:schemeClr w14:val="tx1"/>
            </w14:solidFill>
          </w14:textFill>
        </w:rPr>
        <w:t>：</w:t>
      </w:r>
      <w:r>
        <w:rPr>
          <w:rFonts w:hint="eastAsia" w:ascii="仿宋" w:hAnsi="仿宋" w:eastAsia="仿宋"/>
          <w:sz w:val="28"/>
          <w:szCs w:val="28"/>
          <w:shd w:val="clear" w:color="auto" w:fill="FFFFFF"/>
        </w:rPr>
        <w:t>2021年0</w:t>
      </w:r>
      <w:r>
        <w:rPr>
          <w:rFonts w:ascii="仿宋" w:hAnsi="仿宋" w:eastAsia="仿宋"/>
          <w:sz w:val="28"/>
          <w:szCs w:val="28"/>
          <w:shd w:val="clear" w:color="auto" w:fill="FFFFFF"/>
        </w:rPr>
        <w:t>8月</w:t>
      </w:r>
      <w:r>
        <w:rPr>
          <w:rFonts w:hint="eastAsia" w:ascii="仿宋" w:hAnsi="仿宋" w:eastAsia="仿宋"/>
          <w:sz w:val="28"/>
          <w:szCs w:val="28"/>
          <w:shd w:val="clear" w:color="auto" w:fill="FFFFFF"/>
          <w:lang w:val="en-US" w:eastAsia="zh-CN"/>
        </w:rPr>
        <w:t>31</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上午11：00前。</w:t>
      </w:r>
    </w:p>
    <w:p>
      <w:pPr>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报价响应文件递交地点：</w:t>
      </w:r>
      <w:r>
        <w:rPr>
          <w:rFonts w:hint="eastAsia" w:ascii="仿宋" w:hAnsi="仿宋" w:eastAsia="仿宋"/>
          <w:sz w:val="28"/>
          <w:szCs w:val="28"/>
        </w:rPr>
        <w:t>渝北区回兴龙石路18号学院办公楼二楼</w:t>
      </w:r>
      <w:r>
        <w:rPr>
          <w:rFonts w:ascii="仿宋" w:hAnsi="仿宋" w:eastAsia="仿宋"/>
          <w:sz w:val="28"/>
          <w:szCs w:val="28"/>
        </w:rPr>
        <w:t>202</w:t>
      </w:r>
      <w:r>
        <w:rPr>
          <w:rFonts w:hint="eastAsia" w:ascii="仿宋" w:hAnsi="仿宋" w:eastAsia="仿宋"/>
          <w:sz w:val="28"/>
          <w:szCs w:val="28"/>
        </w:rPr>
        <w:t>室。</w:t>
      </w:r>
    </w:p>
    <w:p>
      <w:pPr>
        <w:spacing w:after="0" w:line="440" w:lineRule="exact"/>
        <w:ind w:left="839"/>
        <w:rPr>
          <w:rFonts w:ascii="仿宋" w:hAnsi="仿宋" w:eastAsia="仿宋"/>
          <w:b/>
          <w:bCs/>
          <w:sz w:val="28"/>
          <w:szCs w:val="28"/>
        </w:rPr>
      </w:pPr>
      <w:bookmarkStart w:id="6" w:name="_Hlk67753493"/>
      <w:r>
        <w:rPr>
          <w:rFonts w:hint="eastAsia" w:ascii="仿宋" w:hAnsi="仿宋" w:eastAsia="仿宋"/>
          <w:b/>
          <w:bCs/>
          <w:sz w:val="28"/>
          <w:szCs w:val="28"/>
        </w:rPr>
        <w:t xml:space="preserve">联系人：喻峻  </w:t>
      </w:r>
      <w:r>
        <w:rPr>
          <w:rFonts w:ascii="仿宋" w:hAnsi="仿宋" w:eastAsia="仿宋"/>
          <w:b/>
          <w:bCs/>
          <w:sz w:val="28"/>
          <w:szCs w:val="28"/>
        </w:rPr>
        <w:t xml:space="preserve">      </w:t>
      </w:r>
      <w:r>
        <w:rPr>
          <w:rFonts w:hint="eastAsia" w:ascii="仿宋" w:hAnsi="仿宋" w:eastAsia="仿宋"/>
          <w:b/>
          <w:bCs/>
          <w:sz w:val="28"/>
          <w:szCs w:val="28"/>
          <w:lang w:val="en-US" w:eastAsia="zh-CN"/>
        </w:rPr>
        <w:t xml:space="preserve">  </w:t>
      </w:r>
      <w:r>
        <w:rPr>
          <w:rFonts w:ascii="仿宋" w:hAnsi="仿宋" w:eastAsia="仿宋"/>
          <w:b/>
          <w:bCs/>
          <w:sz w:val="28"/>
          <w:szCs w:val="28"/>
        </w:rPr>
        <w:t xml:space="preserve">  </w:t>
      </w:r>
      <w:r>
        <w:rPr>
          <w:rFonts w:hint="eastAsia" w:ascii="仿宋" w:hAnsi="仿宋" w:eastAsia="仿宋"/>
          <w:b/>
          <w:bCs/>
          <w:sz w:val="28"/>
          <w:szCs w:val="28"/>
        </w:rPr>
        <w:t>联系电话：</w:t>
      </w:r>
      <w:r>
        <w:rPr>
          <w:rFonts w:ascii="仿宋" w:hAnsi="仿宋" w:eastAsia="仿宋"/>
          <w:b/>
          <w:bCs/>
          <w:sz w:val="28"/>
          <w:szCs w:val="28"/>
        </w:rPr>
        <w:t>18502371287</w:t>
      </w:r>
    </w:p>
    <w:p>
      <w:pPr>
        <w:spacing w:after="0" w:line="440" w:lineRule="exact"/>
        <w:ind w:left="839"/>
        <w:rPr>
          <w:rFonts w:hint="default" w:ascii="仿宋" w:hAnsi="仿宋" w:eastAsia="仿宋"/>
          <w:b/>
          <w:bCs/>
          <w:sz w:val="28"/>
          <w:szCs w:val="28"/>
          <w:lang w:val="en-US" w:eastAsia="zh-CN"/>
        </w:rPr>
      </w:pPr>
      <w:r>
        <w:rPr>
          <w:rFonts w:hint="eastAsia" w:ascii="仿宋" w:hAnsi="仿宋" w:eastAsia="仿宋"/>
          <w:b/>
          <w:bCs/>
          <w:sz w:val="28"/>
          <w:szCs w:val="28"/>
        </w:rPr>
        <w:t>项目答疑人：</w:t>
      </w:r>
      <w:r>
        <w:rPr>
          <w:rFonts w:hint="eastAsia" w:ascii="仿宋" w:hAnsi="仿宋" w:eastAsia="仿宋"/>
          <w:b/>
          <w:bCs/>
          <w:sz w:val="28"/>
          <w:szCs w:val="28"/>
          <w:lang w:val="en-US" w:eastAsia="zh-CN"/>
        </w:rPr>
        <w:t>纪良晨</w:t>
      </w:r>
      <w:r>
        <w:rPr>
          <w:rFonts w:hint="eastAsia" w:ascii="仿宋" w:hAnsi="仿宋" w:eastAsia="仿宋"/>
          <w:b/>
          <w:bCs/>
          <w:sz w:val="28"/>
          <w:szCs w:val="28"/>
        </w:rPr>
        <w:t xml:space="preserve">  </w:t>
      </w:r>
      <w:r>
        <w:rPr>
          <w:rFonts w:ascii="仿宋" w:hAnsi="仿宋" w:eastAsia="仿宋"/>
          <w:b/>
          <w:bCs/>
          <w:sz w:val="28"/>
          <w:szCs w:val="28"/>
        </w:rPr>
        <w:t xml:space="preserve">    </w:t>
      </w:r>
      <w:r>
        <w:rPr>
          <w:rFonts w:hint="eastAsia" w:ascii="仿宋" w:hAnsi="仿宋" w:eastAsia="仿宋"/>
          <w:b/>
          <w:bCs/>
          <w:sz w:val="28"/>
          <w:szCs w:val="28"/>
        </w:rPr>
        <w:t>联系电话：</w:t>
      </w:r>
      <w:r>
        <w:rPr>
          <w:rFonts w:hint="eastAsia" w:ascii="仿宋" w:hAnsi="仿宋" w:eastAsia="仿宋"/>
          <w:b/>
          <w:bCs/>
          <w:sz w:val="28"/>
          <w:szCs w:val="28"/>
          <w:lang w:val="en-US" w:eastAsia="zh-CN"/>
        </w:rPr>
        <w:t>18716421893</w:t>
      </w:r>
    </w:p>
    <w:p>
      <w:pPr>
        <w:spacing w:after="0" w:line="440" w:lineRule="exact"/>
        <w:ind w:left="839"/>
        <w:rPr>
          <w:rFonts w:ascii="仿宋" w:hAnsi="仿宋" w:eastAsia="仿宋"/>
          <w:b/>
          <w:bCs/>
          <w:sz w:val="28"/>
          <w:szCs w:val="28"/>
        </w:rPr>
      </w:pPr>
      <w:r>
        <w:rPr>
          <w:rFonts w:hint="eastAsia" w:ascii="仿宋" w:hAnsi="仿宋" w:eastAsia="仿宋"/>
          <w:b/>
          <w:bCs/>
          <w:sz w:val="28"/>
          <w:szCs w:val="28"/>
        </w:rPr>
        <w:t>注：响应文件按以上地址送达</w:t>
      </w:r>
    </w:p>
    <w:bookmarkEnd w:id="6"/>
    <w:p>
      <w:pPr>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二、参与人须知</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1.所有货物及施工改造服务等均以人民币报价；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2.报价响应文件2份，报价响应文件</w:t>
      </w:r>
      <w:r>
        <w:rPr>
          <w:rFonts w:ascii="仿宋" w:hAnsi="仿宋" w:eastAsia="仿宋"/>
          <w:color w:val="000000" w:themeColor="text1"/>
          <w:sz w:val="28"/>
          <w:szCs w:val="28"/>
          <w14:textFill>
            <w14:solidFill>
              <w14:schemeClr w14:val="tx1"/>
            </w14:solidFill>
          </w14:textFill>
        </w:rPr>
        <w:t>必须用A4幅面纸张打印</w:t>
      </w:r>
      <w:r>
        <w:rPr>
          <w:rFonts w:hint="eastAsia" w:ascii="仿宋" w:hAnsi="仿宋" w:eastAsia="仿宋"/>
          <w:color w:val="000000" w:themeColor="text1"/>
          <w:sz w:val="28"/>
          <w:szCs w:val="28"/>
          <w14:textFill>
            <w14:solidFill>
              <w14:schemeClr w14:val="tx1"/>
            </w14:solidFill>
          </w14:textFill>
        </w:rPr>
        <w:t>，须由参与人填写并加盖公章（正本1份副本1份）；</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3.报价响应文件用不退色墨水书写或打印，因字迹潦草或表达不清所引起的后果由参与人自负；</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报价响应文件及所有相关资料需同时进行密封处理，并在密封处加盖公章，未做密封处理及未加盖公章的视为无效报价；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5.一个参与人只能提交一个报价响应文件。但如果参与人之间存在下列互为关联关系情形之一的，不得同时参加本项目报价：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法定代表人为同一人的两个及两个以上法人；</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母公司、直接或间接持股50％及以上的被投资公司;</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均为同一家母公司直接或间接持股50％及以上的被投资公司。</w:t>
      </w:r>
    </w:p>
    <w:p>
      <w:pPr>
        <w:spacing w:after="0" w:line="440" w:lineRule="exact"/>
        <w:jc w:val="left"/>
        <w:rPr>
          <w:rFonts w:ascii="仿宋" w:hAnsi="仿宋" w:eastAsia="仿宋"/>
          <w:sz w:val="28"/>
          <w:szCs w:val="28"/>
        </w:rPr>
      </w:pPr>
      <w:r>
        <w:rPr>
          <w:rFonts w:hint="eastAsia" w:ascii="仿宋" w:hAnsi="仿宋" w:eastAsia="仿宋"/>
          <w:sz w:val="28"/>
          <w:szCs w:val="28"/>
        </w:rPr>
        <w:t>三、质保和后期服务要求</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1.免费保修期，</w:t>
      </w:r>
      <w:r>
        <w:rPr>
          <w:rFonts w:hint="eastAsia" w:ascii="仿宋" w:hAnsi="仿宋" w:eastAsia="仿宋"/>
          <w:sz w:val="28"/>
          <w:szCs w:val="28"/>
          <w:lang w:val="en-US" w:eastAsia="zh-CN"/>
        </w:rPr>
        <w:t>叁</w:t>
      </w:r>
      <w:r>
        <w:rPr>
          <w:rFonts w:hint="eastAsia" w:ascii="仿宋" w:hAnsi="仿宋" w:eastAsia="仿宋"/>
          <w:sz w:val="28"/>
          <w:szCs w:val="28"/>
        </w:rPr>
        <w:t>年以上；</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2.应急保修时间安排，报修后2天内完成；</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3.请提供报修联系电话及联系人员；</w:t>
      </w:r>
    </w:p>
    <w:p>
      <w:pPr>
        <w:spacing w:after="0" w:line="440" w:lineRule="exact"/>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440" w:lineRule="exact"/>
        <w:ind w:firstLine="560" w:firstLineChars="200"/>
        <w:jc w:val="left"/>
        <w:rPr>
          <w:rFonts w:ascii="仿宋" w:hAnsi="仿宋" w:eastAsia="仿宋"/>
          <w:sz w:val="28"/>
          <w:szCs w:val="28"/>
        </w:rPr>
      </w:pPr>
      <w:r>
        <w:rPr>
          <w:rFonts w:hint="eastAsia" w:ascii="仿宋" w:hAnsi="仿宋" w:eastAsia="仿宋"/>
          <w:sz w:val="28"/>
          <w:szCs w:val="28"/>
        </w:rPr>
        <w:t>所投材料及设备符合采购需求、质量和服务要求,经过磋商所报价格为合理价格的参与人为成交参与人，最低报价不作为成交的保证。</w:t>
      </w:r>
    </w:p>
    <w:p>
      <w:pPr>
        <w:spacing w:after="0" w:line="440" w:lineRule="exact"/>
        <w:rPr>
          <w:rFonts w:ascii="仿宋" w:hAnsi="仿宋" w:eastAsia="仿宋"/>
          <w:b/>
          <w:bCs/>
          <w:sz w:val="28"/>
          <w:szCs w:val="28"/>
        </w:rPr>
      </w:pPr>
      <w:r>
        <w:rPr>
          <w:rFonts w:hint="eastAsia" w:ascii="仿宋" w:hAnsi="仿宋" w:eastAsia="仿宋"/>
          <w:b/>
          <w:bCs/>
          <w:sz w:val="28"/>
          <w:szCs w:val="28"/>
        </w:rPr>
        <w:t>本项目监督投诉部门：中教集团内控部；投诉电话： 0791-88102608；</w:t>
      </w:r>
    </w:p>
    <w:p>
      <w:pPr>
        <w:spacing w:after="0" w:line="440" w:lineRule="exact"/>
        <w:rPr>
          <w:rFonts w:ascii="仿宋" w:hAnsi="仿宋" w:eastAsia="仿宋"/>
          <w:b/>
          <w:bCs/>
          <w:sz w:val="28"/>
          <w:szCs w:val="28"/>
        </w:rPr>
      </w:pPr>
      <w:r>
        <w:rPr>
          <w:rFonts w:hint="eastAsia" w:ascii="仿宋" w:hAnsi="仿宋" w:eastAsia="仿宋"/>
          <w:b/>
          <w:bCs/>
          <w:sz w:val="28"/>
          <w:szCs w:val="28"/>
        </w:rPr>
        <w:t>投诉邮箱：Neikongbu@educationgroup.cn</w:t>
      </w:r>
    </w:p>
    <w:p>
      <w:pPr>
        <w:spacing w:after="0" w:line="440" w:lineRule="exact"/>
        <w:rPr>
          <w:rFonts w:ascii="仿宋" w:hAnsi="仿宋" w:eastAsia="仿宋"/>
          <w:b/>
          <w:bCs/>
          <w:sz w:val="28"/>
          <w:szCs w:val="28"/>
        </w:rPr>
      </w:pPr>
      <w:r>
        <w:rPr>
          <w:rFonts w:hint="eastAsia" w:ascii="仿宋" w:hAnsi="仿宋" w:eastAsia="仿宋"/>
          <w:b/>
          <w:bCs/>
          <w:sz w:val="28"/>
          <w:szCs w:val="28"/>
        </w:rPr>
        <w:t>本项目最终成交结果会在中教集团后勤贤知平台“中标信息公示”板块公示，网址：www.ceghqxz.com</w:t>
      </w:r>
    </w:p>
    <w:p>
      <w:pPr>
        <w:widowControl w:val="0"/>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pPr>
    </w:p>
    <w:p>
      <w:pPr>
        <w:widowControl w:val="0"/>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sectPr>
          <w:headerReference r:id="rId5" w:type="default"/>
          <w:footerReference r:id="rId6" w:type="default"/>
          <w:pgSz w:w="11906" w:h="16838"/>
          <w:pgMar w:top="1440" w:right="1416" w:bottom="1440" w:left="1134" w:header="283" w:footer="227" w:gutter="0"/>
          <w:cols w:space="425" w:num="1"/>
          <w:titlePg/>
          <w:docGrid w:type="lines" w:linePitch="312" w:charSpace="0"/>
        </w:sectPr>
      </w:pPr>
    </w:p>
    <w:p>
      <w:pPr>
        <w:pStyle w:val="61"/>
        <w:spacing w:line="360" w:lineRule="auto"/>
        <w:jc w:val="center"/>
        <w:outlineLvl w:val="0"/>
        <w:rPr>
          <w:rFonts w:ascii="仿宋" w:hAnsi="仿宋" w:eastAsia="仿宋"/>
          <w:b/>
          <w:color w:val="000000" w:themeColor="text1"/>
          <w:sz w:val="44"/>
          <w:szCs w:val="44"/>
          <w14:textFill>
            <w14:solidFill>
              <w14:schemeClr w14:val="tx1"/>
            </w14:solidFill>
          </w14:textFill>
        </w:rPr>
      </w:pPr>
      <w:bookmarkStart w:id="7" w:name="_Hlk61444720"/>
      <w:r>
        <w:rPr>
          <w:rFonts w:hint="eastAsia" w:ascii="仿宋" w:hAnsi="仿宋" w:eastAsia="仿宋"/>
          <w:b/>
          <w:color w:val="000000" w:themeColor="text1"/>
          <w:sz w:val="44"/>
          <w:szCs w:val="44"/>
          <w14:textFill>
            <w14:solidFill>
              <w14:schemeClr w14:val="tx1"/>
            </w14:solidFill>
          </w14:textFill>
        </w:rPr>
        <w:t>二、公开询价</w:t>
      </w:r>
      <w:bookmarkEnd w:id="5"/>
      <w:r>
        <w:rPr>
          <w:rFonts w:hint="eastAsia" w:ascii="仿宋" w:hAnsi="仿宋" w:eastAsia="仿宋"/>
          <w:b/>
          <w:color w:val="000000" w:themeColor="text1"/>
          <w:sz w:val="44"/>
          <w:szCs w:val="44"/>
          <w14:textFill>
            <w14:solidFill>
              <w14:schemeClr w14:val="tx1"/>
            </w14:solidFill>
          </w14:textFill>
        </w:rPr>
        <w:t>项目介绍</w:t>
      </w:r>
    </w:p>
    <w:bookmarkEnd w:id="7"/>
    <w:p>
      <w:pPr>
        <w:spacing w:after="0" w:line="500" w:lineRule="exact"/>
        <w:ind w:left="1968" w:hanging="1968" w:hangingChars="700"/>
        <w:rPr>
          <w:rFonts w:ascii="仿宋" w:hAnsi="仿宋" w:eastAsia="仿宋"/>
          <w:b/>
          <w:sz w:val="28"/>
          <w:szCs w:val="28"/>
        </w:rPr>
      </w:pPr>
      <w:bookmarkStart w:id="8" w:name="_Hlk46845989"/>
      <w:r>
        <w:rPr>
          <w:rFonts w:hint="eastAsia" w:ascii="仿宋" w:hAnsi="仿宋" w:eastAsia="仿宋"/>
          <w:b/>
          <w:sz w:val="28"/>
          <w:szCs w:val="28"/>
        </w:rPr>
        <w:t>一、项目名称：</w:t>
      </w:r>
      <w:r>
        <w:rPr>
          <w:rFonts w:hint="eastAsia" w:ascii="仿宋" w:hAnsi="仿宋" w:eastAsia="仿宋"/>
          <w:color w:val="000000" w:themeColor="text1"/>
          <w:sz w:val="28"/>
          <w:szCs w:val="28"/>
          <w14:textFill>
            <w14:solidFill>
              <w14:schemeClr w14:val="tx1"/>
            </w14:solidFill>
          </w14:textFill>
        </w:rPr>
        <w:t>迎新车辆外包服务项目</w:t>
      </w:r>
    </w:p>
    <w:p>
      <w:pPr>
        <w:spacing w:after="0" w:line="500" w:lineRule="exact"/>
        <w:ind w:left="1985" w:right="-180" w:rightChars="-82" w:hanging="1985" w:hangingChars="706"/>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b/>
          <w:sz w:val="28"/>
          <w:szCs w:val="28"/>
        </w:rPr>
        <w:t>二、项目地点：</w:t>
      </w:r>
      <w:r>
        <w:rPr>
          <w:rFonts w:hint="eastAsia" w:ascii="仿宋" w:hAnsi="仿宋" w:eastAsia="仿宋"/>
          <w:color w:val="000000" w:themeColor="text1"/>
          <w:sz w:val="28"/>
          <w:szCs w:val="28"/>
          <w14:textFill>
            <w14:solidFill>
              <w14:schemeClr w14:val="tx1"/>
            </w14:solidFill>
          </w14:textFill>
        </w:rPr>
        <w:t>重庆市渝北区龙石路1</w:t>
      </w: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号</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重庆市綦江区文龙街道学府路1号</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三、项目概况：</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重庆外语外事学院对</w:t>
      </w:r>
      <w:r>
        <w:rPr>
          <w:rFonts w:hint="eastAsia" w:ascii="仿宋" w:hAnsi="仿宋" w:eastAsia="仿宋"/>
          <w:color w:val="000000" w:themeColor="text1"/>
          <w:sz w:val="28"/>
          <w:szCs w:val="28"/>
          <w14:textFill>
            <w14:solidFill>
              <w14:schemeClr w14:val="tx1"/>
            </w14:solidFill>
          </w14:textFill>
        </w:rPr>
        <w:t>迎新车辆外包服务</w:t>
      </w:r>
      <w:r>
        <w:rPr>
          <w:rFonts w:hint="eastAsia" w:ascii="仿宋" w:hAnsi="仿宋" w:eastAsia="仿宋"/>
          <w:sz w:val="28"/>
          <w:szCs w:val="28"/>
        </w:rPr>
        <w:t>实施公开询价，欢迎符合要求的参与单位参与。</w:t>
      </w:r>
    </w:p>
    <w:p>
      <w:pPr>
        <w:spacing w:after="0" w:line="500" w:lineRule="exact"/>
        <w:ind w:firstLine="560" w:firstLineChars="200"/>
        <w:rPr>
          <w:rFonts w:hint="eastAsia" w:ascii="仿宋" w:hAnsi="仿宋" w:eastAsia="仿宋"/>
          <w:sz w:val="28"/>
          <w:szCs w:val="28"/>
        </w:rPr>
      </w:pPr>
      <w:r>
        <w:rPr>
          <w:rFonts w:hint="eastAsia" w:ascii="仿宋" w:hAnsi="仿宋" w:eastAsia="仿宋"/>
          <w:sz w:val="28"/>
          <w:szCs w:val="28"/>
        </w:rPr>
        <w:t>四川外国语大学重庆南方翻译学院招录202</w:t>
      </w:r>
      <w:r>
        <w:rPr>
          <w:rFonts w:hint="eastAsia" w:ascii="仿宋" w:hAnsi="仿宋" w:eastAsia="仿宋"/>
          <w:sz w:val="28"/>
          <w:szCs w:val="28"/>
          <w:lang w:val="en-US" w:eastAsia="zh-CN"/>
        </w:rPr>
        <w:t>1</w:t>
      </w:r>
      <w:r>
        <w:rPr>
          <w:rFonts w:hint="eastAsia" w:ascii="仿宋" w:hAnsi="仿宋" w:eastAsia="仿宋"/>
          <w:sz w:val="28"/>
          <w:szCs w:val="28"/>
        </w:rPr>
        <w:t>级学生</w:t>
      </w:r>
      <w:r>
        <w:rPr>
          <w:rFonts w:hint="eastAsia" w:ascii="仿宋" w:hAnsi="仿宋" w:eastAsia="仿宋"/>
          <w:sz w:val="28"/>
          <w:szCs w:val="28"/>
          <w:lang w:val="en-US" w:eastAsia="zh-CN"/>
        </w:rPr>
        <w:t>4023</w:t>
      </w:r>
      <w:r>
        <w:rPr>
          <w:rFonts w:hint="eastAsia" w:ascii="仿宋" w:hAnsi="仿宋" w:eastAsia="仿宋"/>
          <w:sz w:val="28"/>
          <w:szCs w:val="28"/>
        </w:rPr>
        <w:t>人，市外学生约为1200人。因迎新工作需要，由供应商提供客车运输服务，服务日期为：202</w:t>
      </w:r>
      <w:r>
        <w:rPr>
          <w:rFonts w:hint="eastAsia" w:ascii="仿宋" w:hAnsi="仿宋" w:eastAsia="仿宋"/>
          <w:sz w:val="28"/>
          <w:szCs w:val="28"/>
          <w:lang w:val="en-US" w:eastAsia="zh-CN"/>
        </w:rPr>
        <w:t>1</w:t>
      </w:r>
      <w:r>
        <w:rPr>
          <w:rFonts w:hint="eastAsia" w:ascii="仿宋" w:hAnsi="仿宋" w:eastAsia="仿宋"/>
          <w:sz w:val="28"/>
          <w:szCs w:val="28"/>
        </w:rPr>
        <w:t>年9月</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val="en-US" w:eastAsia="zh-CN"/>
        </w:rPr>
        <w:t>3</w:t>
      </w:r>
      <w:r>
        <w:rPr>
          <w:rFonts w:hint="eastAsia" w:ascii="仿宋" w:hAnsi="仿宋" w:eastAsia="仿宋"/>
          <w:sz w:val="28"/>
          <w:szCs w:val="28"/>
        </w:rPr>
        <w:t>日</w:t>
      </w:r>
      <w:r>
        <w:rPr>
          <w:rFonts w:hint="eastAsia" w:ascii="仿宋" w:hAnsi="仿宋" w:eastAsia="仿宋"/>
          <w:sz w:val="28"/>
          <w:szCs w:val="28"/>
          <w:lang w:eastAsia="zh-CN"/>
        </w:rPr>
        <w:t>、</w:t>
      </w:r>
      <w:r>
        <w:rPr>
          <w:rFonts w:hint="eastAsia" w:ascii="仿宋" w:hAnsi="仿宋" w:eastAsia="仿宋"/>
          <w:sz w:val="28"/>
          <w:szCs w:val="28"/>
          <w:lang w:val="en-US" w:eastAsia="zh-CN"/>
        </w:rPr>
        <w:t>7-8日</w:t>
      </w:r>
      <w:r>
        <w:rPr>
          <w:rFonts w:hint="eastAsia" w:ascii="仿宋" w:hAnsi="仿宋" w:eastAsia="仿宋"/>
          <w:sz w:val="28"/>
          <w:szCs w:val="28"/>
        </w:rPr>
        <w:t>，服务时间：7：00-22：00。参与人必须配备足够运力的车辆，车辆座位数为19-49座，采用滚动发车方式，满足迎新工作的需要，确保新生及家长不滞留。</w:t>
      </w:r>
    </w:p>
    <w:p>
      <w:pPr>
        <w:spacing w:after="0" w:line="500" w:lineRule="exact"/>
        <w:ind w:firstLine="562" w:firstLineChars="200"/>
        <w:rPr>
          <w:rFonts w:hint="eastAsia" w:ascii="仿宋" w:hAnsi="仿宋" w:eastAsia="仿宋"/>
          <w:b/>
          <w:bCs/>
          <w:sz w:val="28"/>
          <w:szCs w:val="28"/>
        </w:rPr>
      </w:pPr>
      <w:r>
        <w:rPr>
          <w:rFonts w:hint="eastAsia" w:ascii="仿宋" w:hAnsi="仿宋" w:eastAsia="仿宋"/>
          <w:b/>
          <w:bCs/>
          <w:sz w:val="28"/>
          <w:szCs w:val="28"/>
          <w:lang w:val="en-US" w:eastAsia="zh-CN"/>
        </w:rPr>
        <w:t>1、</w:t>
      </w:r>
      <w:r>
        <w:rPr>
          <w:rFonts w:hint="eastAsia" w:ascii="仿宋" w:hAnsi="仿宋" w:eastAsia="仿宋"/>
          <w:b/>
          <w:bCs/>
          <w:sz w:val="28"/>
          <w:szCs w:val="28"/>
        </w:rPr>
        <w:t>服务车辆及驾驶员要求</w:t>
      </w:r>
    </w:p>
    <w:p>
      <w:pPr>
        <w:spacing w:after="0" w:line="500" w:lineRule="exact"/>
        <w:ind w:firstLine="560" w:firstLineChars="200"/>
        <w:rPr>
          <w:rFonts w:hint="eastAsia" w:ascii="仿宋" w:hAnsi="仿宋" w:eastAsia="仿宋"/>
          <w:sz w:val="28"/>
          <w:szCs w:val="28"/>
        </w:rPr>
      </w:pPr>
      <w:bookmarkStart w:id="9" w:name="_Hlk50579774"/>
      <w:r>
        <w:rPr>
          <w:rFonts w:hint="eastAsia" w:ascii="仿宋" w:hAnsi="仿宋" w:eastAsia="仿宋"/>
          <w:sz w:val="28"/>
          <w:szCs w:val="28"/>
        </w:rPr>
        <w:t>具备与高校车辆外包合作成功案例，优秀的服务团队，良好的安全保障体系和管控措施，高效的车辆运输组织能力，完备的车辆维修维护管理制度，并拥有成熟的应急和危机处置机制。</w:t>
      </w:r>
    </w:p>
    <w:p>
      <w:pPr>
        <w:spacing w:after="0" w:line="500" w:lineRule="exact"/>
        <w:ind w:firstLine="560" w:firstLineChars="200"/>
        <w:rPr>
          <w:rFonts w:hint="eastAsia" w:ascii="仿宋" w:hAnsi="仿宋" w:eastAsia="仿宋"/>
          <w:sz w:val="28"/>
          <w:szCs w:val="28"/>
        </w:rPr>
      </w:pPr>
      <w:r>
        <w:rPr>
          <w:rFonts w:hint="eastAsia" w:ascii="仿宋" w:hAnsi="仿宋" w:eastAsia="仿宋"/>
          <w:sz w:val="28"/>
          <w:szCs w:val="28"/>
        </w:rPr>
        <w:t>（一）须采用19-49座大、中、小型客车，车龄不超过6年。车辆性能良好，无故障或任何安全隐患；</w:t>
      </w:r>
    </w:p>
    <w:p>
      <w:pPr>
        <w:spacing w:after="0" w:line="500" w:lineRule="exact"/>
        <w:ind w:firstLine="560" w:firstLineChars="200"/>
        <w:rPr>
          <w:rFonts w:hint="eastAsia" w:ascii="仿宋" w:hAnsi="仿宋" w:eastAsia="仿宋"/>
          <w:sz w:val="28"/>
          <w:szCs w:val="28"/>
        </w:rPr>
      </w:pPr>
      <w:r>
        <w:rPr>
          <w:rFonts w:hint="eastAsia" w:ascii="仿宋" w:hAnsi="仿宋" w:eastAsia="仿宋"/>
          <w:sz w:val="28"/>
          <w:szCs w:val="28"/>
        </w:rPr>
        <w:t>（二）所服务车辆须有公安车管部门核发的行驶证和道路运输主管部门核发的营运证；</w:t>
      </w:r>
    </w:p>
    <w:p>
      <w:pPr>
        <w:spacing w:after="0" w:line="500" w:lineRule="exact"/>
        <w:ind w:firstLine="560" w:firstLineChars="200"/>
        <w:rPr>
          <w:rFonts w:hint="eastAsia" w:ascii="仿宋" w:hAnsi="仿宋" w:eastAsia="仿宋"/>
          <w:sz w:val="28"/>
          <w:szCs w:val="28"/>
        </w:rPr>
      </w:pPr>
      <w:r>
        <w:rPr>
          <w:rFonts w:hint="eastAsia" w:ascii="仿宋" w:hAnsi="仿宋" w:eastAsia="仿宋"/>
          <w:sz w:val="28"/>
          <w:szCs w:val="28"/>
        </w:rPr>
        <w:t>（三）所有服务车辆必须购置车辆交强险和商业险（第三者责任保险、乘座责任险、其中第三者责任险不得低于100万元、驾驶员及乘客责任险不低于40万元。若购买其它险种需提供相应证明材料）。</w:t>
      </w:r>
    </w:p>
    <w:p>
      <w:pPr>
        <w:spacing w:after="0" w:line="500" w:lineRule="exact"/>
        <w:ind w:firstLine="560" w:firstLineChars="200"/>
        <w:rPr>
          <w:rFonts w:hint="eastAsia" w:ascii="仿宋" w:hAnsi="仿宋" w:eastAsia="仿宋"/>
          <w:sz w:val="28"/>
          <w:szCs w:val="28"/>
        </w:rPr>
      </w:pPr>
      <w:r>
        <w:rPr>
          <w:rFonts w:hint="eastAsia" w:ascii="仿宋" w:hAnsi="仿宋" w:eastAsia="仿宋"/>
          <w:sz w:val="28"/>
          <w:szCs w:val="28"/>
        </w:rPr>
        <w:t>（四）投入服务的车辆必须符合年审、环保要求，车辆性能状况良好，严禁车辆带故障上路。车辆严格遵守规定的时间、地点、路线行驶，提供良好的服务和车内卫生环境。</w:t>
      </w:r>
    </w:p>
    <w:p>
      <w:pPr>
        <w:spacing w:after="0" w:line="500" w:lineRule="exact"/>
        <w:ind w:firstLine="560" w:firstLineChars="200"/>
        <w:rPr>
          <w:rFonts w:hint="eastAsia" w:ascii="仿宋" w:hAnsi="仿宋" w:eastAsia="仿宋"/>
          <w:sz w:val="28"/>
          <w:szCs w:val="28"/>
        </w:rPr>
      </w:pPr>
      <w:r>
        <w:rPr>
          <w:rFonts w:hint="eastAsia" w:ascii="仿宋" w:hAnsi="仿宋" w:eastAsia="仿宋"/>
          <w:sz w:val="28"/>
          <w:szCs w:val="28"/>
        </w:rPr>
        <w:t>（五）承运车辆必须安装视频监控系统和GPS定位系统，随时掌握车辆的运行情况、驾驶员工作状态，洞察车内外异常，预防事故发生，对各种突发情况和事故处理要有应急处置预案。</w:t>
      </w:r>
    </w:p>
    <w:p>
      <w:pPr>
        <w:spacing w:after="0" w:line="500" w:lineRule="exact"/>
        <w:ind w:firstLine="560" w:firstLineChars="200"/>
        <w:rPr>
          <w:rFonts w:hint="eastAsia" w:ascii="仿宋" w:hAnsi="仿宋" w:eastAsia="仿宋"/>
          <w:sz w:val="28"/>
          <w:szCs w:val="28"/>
        </w:rPr>
      </w:pPr>
      <w:r>
        <w:rPr>
          <w:rFonts w:hint="eastAsia" w:ascii="仿宋" w:hAnsi="仿宋" w:eastAsia="仿宋"/>
          <w:sz w:val="28"/>
          <w:szCs w:val="28"/>
        </w:rPr>
        <w:t>（六）服务驾驶员必须是60周岁以下，责任心强且具6年以上驾驶大客车经验，掌握相关道路旅客运输法规、机动车维修和旅客急救基本知识，经考试合格取得相应的从业资格证，职业素养良好。</w:t>
      </w:r>
    </w:p>
    <w:p>
      <w:pPr>
        <w:spacing w:after="0" w:line="500" w:lineRule="exact"/>
        <w:ind w:firstLine="562" w:firstLineChars="200"/>
        <w:rPr>
          <w:rFonts w:hint="eastAsia" w:ascii="仿宋" w:hAnsi="仿宋" w:eastAsia="仿宋"/>
          <w:b/>
          <w:bCs/>
          <w:sz w:val="28"/>
          <w:szCs w:val="28"/>
        </w:rPr>
      </w:pPr>
      <w:r>
        <w:rPr>
          <w:rFonts w:hint="eastAsia" w:ascii="仿宋" w:hAnsi="仿宋" w:eastAsia="仿宋"/>
          <w:b/>
          <w:bCs/>
          <w:sz w:val="28"/>
          <w:szCs w:val="28"/>
          <w:lang w:val="en-US" w:eastAsia="zh-CN"/>
        </w:rPr>
        <w:t>2</w:t>
      </w:r>
      <w:r>
        <w:rPr>
          <w:rFonts w:hint="eastAsia" w:ascii="仿宋" w:hAnsi="仿宋" w:eastAsia="仿宋"/>
          <w:b/>
          <w:bCs/>
          <w:sz w:val="28"/>
          <w:szCs w:val="28"/>
        </w:rPr>
        <w:t>、运行线路</w:t>
      </w:r>
    </w:p>
    <w:p>
      <w:pPr>
        <w:spacing w:after="0" w:line="500" w:lineRule="exact"/>
        <w:ind w:firstLine="560" w:firstLineChars="200"/>
        <w:rPr>
          <w:rFonts w:hint="eastAsia" w:ascii="仿宋" w:hAnsi="仿宋" w:eastAsia="仿宋"/>
          <w:sz w:val="28"/>
          <w:szCs w:val="28"/>
        </w:rPr>
      </w:pPr>
      <w:r>
        <w:rPr>
          <w:rFonts w:hint="eastAsia" w:ascii="仿宋" w:hAnsi="仿宋" w:eastAsia="仿宋"/>
          <w:sz w:val="28"/>
          <w:szCs w:val="28"/>
        </w:rPr>
        <w:t>（一）渝北校区</w:t>
      </w:r>
    </w:p>
    <w:p>
      <w:pPr>
        <w:snapToGrid w:val="0"/>
        <w:spacing w:after="0"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从重庆西站、重庆菜园坝火车站、重庆火车北站北广场、重庆江北国际机场等四处迎新站点将新生及家长运送至渝北校区，地址：重庆市渝北区龙石路1</w:t>
      </w:r>
      <w:r>
        <w:rPr>
          <w:rFonts w:ascii="仿宋" w:hAnsi="仿宋" w:eastAsia="仿宋" w:cs="仿宋"/>
          <w:color w:val="000000" w:themeColor="text1"/>
          <w:sz w:val="28"/>
          <w:szCs w:val="28"/>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号。</w:t>
      </w:r>
    </w:p>
    <w:p>
      <w:pPr>
        <w:snapToGrid w:val="0"/>
        <w:spacing w:after="0" w:line="360" w:lineRule="auto"/>
        <w:ind w:left="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（二）綦江校区</w:t>
      </w:r>
    </w:p>
    <w:p>
      <w:pPr>
        <w:snapToGrid w:val="0"/>
        <w:spacing w:after="0"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从重庆西站、重庆菜园坝火车站、重庆火车北站北广场、重庆江北国际机场、綦江汽车站、綦江火车东站等六处迎新站点将新生及家长运送至綦江校区，地址：重庆市綦江区通惠街道学府路1号。</w:t>
      </w:r>
    </w:p>
    <w:p>
      <w:pPr>
        <w:spacing w:after="0" w:line="500" w:lineRule="exact"/>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3、其他要求</w:t>
      </w:r>
    </w:p>
    <w:p>
      <w:pPr>
        <w:snapToGrid w:val="0"/>
        <w:spacing w:after="0"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（一）学校及供应商共同负责提醒新生及家长随身携带和保管好贵重物品，如发生贵重物品意外丢失由乘车人自行负责，供应商有协助调查责任。</w:t>
      </w:r>
    </w:p>
    <w:p>
      <w:pPr>
        <w:snapToGrid w:val="0"/>
        <w:spacing w:after="0"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供应商应确保其提供的车辆具有合法的营运手续，驾驶员具有合法的资格。发生重特大交通事故或有严重违章行为的驾驶员不得安排参加此次迎新工作，因车辆营运手续不全或驾驶员资格不具备合法性而造成的损失由乙方负责。</w:t>
      </w:r>
    </w:p>
    <w:p>
      <w:pPr>
        <w:snapToGrid w:val="0"/>
        <w:spacing w:after="0"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供应商需对提供车辆进行全面安全检查，并派技术过硬、服务优质的驾驶员参加迎新工作，并保持车辆内外整洁、卫生。车辆在迎新期间需保证车辆运行安全，确保学生及家长人身财产安全，发生交通事故等均由供应商负责处理并承担一切法律和经济责任。</w:t>
      </w:r>
    </w:p>
    <w:p>
      <w:pPr>
        <w:spacing w:after="0" w:line="500" w:lineRule="exact"/>
        <w:ind w:left="2668" w:hanging="2657" w:hangingChars="949"/>
        <w:rPr>
          <w:rFonts w:hint="eastAsia" w:ascii="仿宋" w:hAnsi="仿宋" w:eastAsia="仿宋"/>
          <w:b/>
          <w:sz w:val="28"/>
          <w:szCs w:val="28"/>
        </w:rPr>
      </w:pPr>
      <w:r>
        <w:rPr>
          <w:rFonts w:hint="eastAsia" w:ascii="仿宋" w:hAnsi="仿宋" w:eastAsia="仿宋" w:cs="仿宋"/>
          <w:color w:val="000000" w:themeColor="text1"/>
          <w:sz w:val="28"/>
          <w:szCs w:val="28"/>
          <w14:textFill>
            <w14:solidFill>
              <w14:schemeClr w14:val="tx1"/>
            </w14:solidFill>
          </w14:textFill>
        </w:rPr>
        <w:t>（四）供应商负责此次迎新车辆的具体安排和调度工作，学校派专人协助配合。</w:t>
      </w:r>
      <w:bookmarkEnd w:id="9"/>
    </w:p>
    <w:p>
      <w:pPr>
        <w:spacing w:after="0" w:line="500" w:lineRule="exact"/>
        <w:ind w:left="2668" w:hanging="2668" w:hangingChars="949"/>
        <w:rPr>
          <w:rFonts w:hint="eastAsia" w:ascii="仿宋" w:hAnsi="仿宋" w:eastAsia="仿宋"/>
          <w:b/>
          <w:sz w:val="28"/>
          <w:szCs w:val="28"/>
        </w:rPr>
      </w:pPr>
      <w:r>
        <w:rPr>
          <w:rFonts w:hint="eastAsia" w:ascii="仿宋" w:hAnsi="仿宋" w:eastAsia="仿宋"/>
          <w:b/>
          <w:sz w:val="28"/>
          <w:szCs w:val="28"/>
        </w:rPr>
        <w:t>五、评审标准和方法：</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（一）资格性审查：按参与人资格标准的各项要求逐项审查。</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注：资格性审查有其中一项不符合者不进入下一程序。</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（二）符合性审查</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1、技术要求：有任何超过三项不符合《公开询价货物一览表》附件中的技术要求的不进入下一程序。</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2、服务要求：参与人必须逐项承诺</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（1）交货时间：2021年0</w:t>
      </w:r>
      <w:r>
        <w:rPr>
          <w:rFonts w:hint="eastAsia" w:ascii="仿宋" w:hAnsi="仿宋" w:eastAsia="仿宋"/>
          <w:bCs/>
          <w:color w:val="000000" w:themeColor="text1"/>
          <w:sz w:val="28"/>
          <w:szCs w:val="28"/>
          <w:lang w:val="en-US" w:eastAsia="zh-CN"/>
          <w14:textFill>
            <w14:solidFill>
              <w14:schemeClr w14:val="tx1"/>
            </w14:solidFill>
          </w14:textFill>
        </w:rPr>
        <w:t>9</w:t>
      </w:r>
      <w:r>
        <w:rPr>
          <w:rFonts w:hint="eastAsia" w:ascii="仿宋" w:hAnsi="仿宋" w:eastAsia="仿宋"/>
          <w:bCs/>
          <w:color w:val="000000" w:themeColor="text1"/>
          <w:sz w:val="28"/>
          <w:szCs w:val="28"/>
          <w14:textFill>
            <w14:solidFill>
              <w14:schemeClr w14:val="tx1"/>
            </w14:solidFill>
          </w14:textFill>
        </w:rPr>
        <w:t>月</w:t>
      </w:r>
      <w:r>
        <w:rPr>
          <w:rFonts w:hint="eastAsia" w:ascii="仿宋" w:hAnsi="仿宋" w:eastAsia="仿宋"/>
          <w:bCs/>
          <w:color w:val="000000" w:themeColor="text1"/>
          <w:sz w:val="28"/>
          <w:szCs w:val="28"/>
          <w:lang w:val="en-US" w:eastAsia="zh-CN"/>
          <w14:textFill>
            <w14:solidFill>
              <w14:schemeClr w14:val="tx1"/>
            </w14:solidFill>
          </w14:textFill>
        </w:rPr>
        <w:t>02</w:t>
      </w:r>
      <w:bookmarkStart w:id="288" w:name="_GoBack"/>
      <w:bookmarkEnd w:id="288"/>
      <w:r>
        <w:rPr>
          <w:rFonts w:hint="eastAsia" w:ascii="仿宋" w:hAnsi="仿宋" w:eastAsia="仿宋"/>
          <w:bCs/>
          <w:color w:val="000000" w:themeColor="text1"/>
          <w:sz w:val="28"/>
          <w:szCs w:val="28"/>
          <w14:textFill>
            <w14:solidFill>
              <w14:schemeClr w14:val="tx1"/>
            </w14:solidFill>
          </w14:textFill>
        </w:rPr>
        <w:t>日前。</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（2）交货地点：重庆市渝北区龙石路1</w:t>
      </w:r>
      <w:r>
        <w:rPr>
          <w:rFonts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14:textFill>
            <w14:solidFill>
              <w14:schemeClr w14:val="tx1"/>
            </w14:solidFill>
          </w14:textFill>
        </w:rPr>
        <w:t>号。</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（3）到货率：根据交货时间到货率达到100%。</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（4）付款方式：安装完成验收合格付95%，验收合格之日，起满一年</w:t>
      </w:r>
      <w:r>
        <w:rPr>
          <w:rFonts w:hint="eastAsia" w:ascii="仿宋" w:hAnsi="仿宋" w:eastAsia="仿宋"/>
          <w:bCs/>
          <w:color w:val="000000" w:themeColor="text1"/>
          <w:sz w:val="28"/>
          <w:szCs w:val="28"/>
          <w:lang w:val="en-US" w:eastAsia="zh-CN"/>
          <w14:textFill>
            <w14:solidFill>
              <w14:schemeClr w14:val="tx1"/>
            </w14:solidFill>
          </w14:textFill>
        </w:rPr>
        <w:t>且</w:t>
      </w:r>
      <w:r>
        <w:rPr>
          <w:rFonts w:hint="eastAsia" w:ascii="仿宋" w:hAnsi="仿宋" w:eastAsia="仿宋"/>
          <w:bCs/>
          <w:color w:val="000000" w:themeColor="text1"/>
          <w:sz w:val="28"/>
          <w:szCs w:val="28"/>
          <w14:textFill>
            <w14:solidFill>
              <w14:schemeClr w14:val="tx1"/>
            </w14:solidFill>
          </w14:textFill>
        </w:rPr>
        <w:t>无重大质量问题付5%。</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（5）验收承诺：详见第四条技术服务要求。</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（6）售后服务承诺：详见第六条售后服务要求。</w:t>
      </w:r>
    </w:p>
    <w:p>
      <w:pPr>
        <w:spacing w:after="0" w:line="5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本公开询价采购的评审方法采用综合评估法确定成交参与人。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六、售后服务要求</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项目整体质保期</w:t>
      </w:r>
      <w:r>
        <w:rPr>
          <w:rFonts w:hint="eastAsia" w:ascii="仿宋" w:hAnsi="仿宋" w:eastAsia="仿宋"/>
          <w:sz w:val="28"/>
          <w:szCs w:val="28"/>
          <w:lang w:val="en-US" w:eastAsia="zh-CN"/>
        </w:rPr>
        <w:t>1个月</w:t>
      </w:r>
      <w:r>
        <w:rPr>
          <w:rFonts w:hint="eastAsia" w:ascii="仿宋" w:hAnsi="仿宋" w:eastAsia="仿宋"/>
          <w:sz w:val="28"/>
          <w:szCs w:val="28"/>
        </w:rPr>
        <w:t>，从验收合格之日起算。在保质期内，乙方应对非人为因素损坏的物品负责包换。</w:t>
      </w:r>
    </w:p>
    <w:p>
      <w:pPr>
        <w:spacing w:after="0" w:line="440" w:lineRule="exact"/>
        <w:rPr>
          <w:rFonts w:ascii="仿宋" w:hAnsi="仿宋" w:eastAsia="仿宋"/>
          <w:bCs/>
          <w:color w:val="000000" w:themeColor="text1"/>
          <w:sz w:val="28"/>
          <w:szCs w:val="28"/>
          <w14:textFill>
            <w14:solidFill>
              <w14:schemeClr w14:val="tx1"/>
            </w14:solidFill>
          </w14:textFill>
        </w:rPr>
      </w:pPr>
      <w:r>
        <w:rPr>
          <w:rFonts w:hint="eastAsia" w:ascii="仿宋" w:hAnsi="仿宋" w:eastAsia="仿宋"/>
          <w:b/>
          <w:sz w:val="28"/>
          <w:szCs w:val="28"/>
        </w:rPr>
        <w:t>七、本技术规格及要求中所发生的费用全部包含在响应报价中，如本部分的要求与货物的具体要求和采购合同有冲突处，则以货物的具体要求和采购合同为准。</w:t>
      </w:r>
    </w:p>
    <w:bookmarkEnd w:id="8"/>
    <w:p>
      <w:pPr>
        <w:rPr>
          <w:rFonts w:ascii="仿宋" w:hAnsi="仿宋" w:eastAsia="仿宋"/>
          <w:b/>
          <w:color w:val="000000" w:themeColor="text1"/>
          <w:sz w:val="36"/>
          <w:szCs w:val="36"/>
          <w14:textFill>
            <w14:solidFill>
              <w14:schemeClr w14:val="tx1"/>
            </w14:solidFill>
          </w14:textFill>
        </w:rPr>
        <w:sectPr>
          <w:pgSz w:w="11906" w:h="16838"/>
          <w:pgMar w:top="1440" w:right="1274" w:bottom="1440" w:left="1134" w:header="567" w:footer="227" w:gutter="0"/>
          <w:cols w:space="425" w:num="1"/>
          <w:titlePg/>
          <w:docGrid w:type="lines" w:linePitch="312" w:charSpace="0"/>
        </w:sectPr>
      </w:pPr>
    </w:p>
    <w:p>
      <w:pPr>
        <w:pStyle w:val="61"/>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二、公开询价一览表</w:t>
      </w:r>
    </w:p>
    <w:p>
      <w:pPr>
        <w:spacing w:after="0"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项目名称：</w:t>
      </w:r>
      <w:bookmarkStart w:id="10" w:name="_Hlk50577044"/>
      <w:r>
        <w:rPr>
          <w:rFonts w:hint="eastAsia" w:ascii="仿宋" w:hAnsi="仿宋" w:eastAsia="仿宋"/>
          <w:b/>
          <w:color w:val="000000" w:themeColor="text1"/>
          <w:sz w:val="28"/>
          <w:szCs w:val="28"/>
          <w14:textFill>
            <w14:solidFill>
              <w14:schemeClr w14:val="tx1"/>
            </w14:solidFill>
          </w14:textFill>
        </w:rPr>
        <w:t>迎新车辆外包服务</w:t>
      </w:r>
      <w:bookmarkEnd w:id="10"/>
    </w:p>
    <w:p>
      <w:pPr>
        <w:spacing w:after="0" w:line="400" w:lineRule="exact"/>
        <w:rPr>
          <w:rFonts w:ascii="仿宋" w:hAnsi="仿宋" w:eastAsia="仿宋"/>
          <w:b/>
          <w:color w:val="000000" w:themeColor="text1"/>
          <w:sz w:val="28"/>
          <w:szCs w:val="28"/>
          <w14:textFill>
            <w14:solidFill>
              <w14:schemeClr w14:val="tx1"/>
            </w14:solidFill>
          </w14:textFill>
        </w:rPr>
      </w:pPr>
    </w:p>
    <w:tbl>
      <w:tblPr>
        <w:tblStyle w:val="26"/>
        <w:tblW w:w="9315" w:type="dxa"/>
        <w:tblInd w:w="113" w:type="dxa"/>
        <w:tblLayout w:type="autofit"/>
        <w:tblCellMar>
          <w:top w:w="0" w:type="dxa"/>
          <w:left w:w="108" w:type="dxa"/>
          <w:bottom w:w="0" w:type="dxa"/>
          <w:right w:w="108" w:type="dxa"/>
        </w:tblCellMar>
      </w:tblPr>
      <w:tblGrid>
        <w:gridCol w:w="3537"/>
        <w:gridCol w:w="2801"/>
        <w:gridCol w:w="2977"/>
      </w:tblGrid>
      <w:tr>
        <w:tblPrEx>
          <w:tblCellMar>
            <w:top w:w="0" w:type="dxa"/>
            <w:left w:w="108" w:type="dxa"/>
            <w:bottom w:w="0" w:type="dxa"/>
            <w:right w:w="108" w:type="dxa"/>
          </w:tblCellMar>
        </w:tblPrEx>
        <w:trPr>
          <w:trHeight w:val="294" w:hRule="atLeast"/>
        </w:trPr>
        <w:tc>
          <w:tcPr>
            <w:tcW w:w="3537" w:type="dxa"/>
            <w:vMerge w:val="restart"/>
            <w:tcBorders>
              <w:top w:val="single" w:color="auto" w:sz="4" w:space="0"/>
              <w:left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b/>
                <w:bCs/>
                <w:color w:val="000000"/>
                <w:sz w:val="28"/>
                <w:szCs w:val="28"/>
              </w:rPr>
            </w:pPr>
            <w:r>
              <w:rPr>
                <w:rFonts w:hint="eastAsia" w:ascii="等线" w:hAnsi="等线" w:eastAsia="等线" w:cs="宋体"/>
                <w:b/>
                <w:bCs/>
                <w:color w:val="000000"/>
                <w:sz w:val="28"/>
                <w:szCs w:val="28"/>
              </w:rPr>
              <w:t>起点</w:t>
            </w:r>
          </w:p>
        </w:tc>
        <w:tc>
          <w:tcPr>
            <w:tcW w:w="5778" w:type="dxa"/>
            <w:gridSpan w:val="2"/>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b/>
                <w:bCs/>
                <w:color w:val="000000"/>
                <w:sz w:val="28"/>
                <w:szCs w:val="28"/>
              </w:rPr>
            </w:pPr>
            <w:r>
              <w:rPr>
                <w:rFonts w:hint="eastAsia" w:ascii="等线" w:hAnsi="等线" w:eastAsia="等线" w:cs="宋体"/>
                <w:b/>
                <w:bCs/>
                <w:color w:val="000000"/>
                <w:sz w:val="28"/>
                <w:szCs w:val="28"/>
              </w:rPr>
              <w:t>终点</w:t>
            </w:r>
          </w:p>
        </w:tc>
      </w:tr>
      <w:tr>
        <w:tblPrEx>
          <w:tblCellMar>
            <w:top w:w="0" w:type="dxa"/>
            <w:left w:w="108" w:type="dxa"/>
            <w:bottom w:w="0" w:type="dxa"/>
            <w:right w:w="108" w:type="dxa"/>
          </w:tblCellMar>
        </w:tblPrEx>
        <w:trPr>
          <w:trHeight w:val="294" w:hRule="atLeast"/>
        </w:trPr>
        <w:tc>
          <w:tcPr>
            <w:tcW w:w="3537" w:type="dxa"/>
            <w:vMerge w:val="continue"/>
            <w:tcBorders>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b/>
                <w:bCs/>
                <w:color w:val="000000"/>
                <w:sz w:val="28"/>
                <w:szCs w:val="28"/>
              </w:rPr>
            </w:pPr>
          </w:p>
        </w:tc>
        <w:tc>
          <w:tcPr>
            <w:tcW w:w="280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b/>
                <w:bCs/>
                <w:color w:val="000000"/>
                <w:sz w:val="28"/>
                <w:szCs w:val="28"/>
              </w:rPr>
            </w:pPr>
            <w:r>
              <w:rPr>
                <w:rFonts w:hint="eastAsia" w:ascii="等线" w:hAnsi="等线" w:eastAsia="等线" w:cs="宋体"/>
                <w:b/>
                <w:bCs/>
                <w:color w:val="000000"/>
                <w:sz w:val="28"/>
                <w:szCs w:val="28"/>
              </w:rPr>
              <w:t>渝北校区</w:t>
            </w:r>
          </w:p>
        </w:tc>
        <w:tc>
          <w:tcPr>
            <w:tcW w:w="2977"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b/>
                <w:bCs/>
                <w:color w:val="000000"/>
                <w:sz w:val="28"/>
                <w:szCs w:val="28"/>
              </w:rPr>
            </w:pPr>
            <w:r>
              <w:rPr>
                <w:rFonts w:hint="eastAsia" w:ascii="等线" w:hAnsi="等线" w:eastAsia="等线" w:cs="宋体"/>
                <w:b/>
                <w:bCs/>
                <w:color w:val="000000"/>
                <w:sz w:val="28"/>
                <w:szCs w:val="28"/>
              </w:rPr>
              <w:t>綦江校区</w:t>
            </w:r>
          </w:p>
        </w:tc>
      </w:tr>
      <w:tr>
        <w:tblPrEx>
          <w:tblCellMar>
            <w:top w:w="0" w:type="dxa"/>
            <w:left w:w="108" w:type="dxa"/>
            <w:bottom w:w="0" w:type="dxa"/>
            <w:right w:w="108" w:type="dxa"/>
          </w:tblCellMar>
        </w:tblPrEx>
        <w:trPr>
          <w:trHeight w:val="294" w:hRule="atLeast"/>
        </w:trPr>
        <w:tc>
          <w:tcPr>
            <w:tcW w:w="353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r>
              <w:rPr>
                <w:rFonts w:hint="eastAsia" w:ascii="等线" w:hAnsi="等线" w:eastAsia="等线" w:cs="宋体"/>
                <w:color w:val="000000"/>
                <w:sz w:val="28"/>
                <w:szCs w:val="28"/>
              </w:rPr>
              <w:t>重庆西站</w:t>
            </w:r>
          </w:p>
        </w:tc>
        <w:tc>
          <w:tcPr>
            <w:tcW w:w="28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c>
          <w:tcPr>
            <w:tcW w:w="297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294" w:hRule="atLeast"/>
        </w:trPr>
        <w:tc>
          <w:tcPr>
            <w:tcW w:w="353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r>
              <w:rPr>
                <w:rFonts w:hint="eastAsia" w:ascii="等线" w:hAnsi="等线" w:eastAsia="等线" w:cs="宋体"/>
                <w:color w:val="000000"/>
                <w:sz w:val="28"/>
                <w:szCs w:val="28"/>
              </w:rPr>
              <w:t>重庆北站北广场</w:t>
            </w:r>
          </w:p>
        </w:tc>
        <w:tc>
          <w:tcPr>
            <w:tcW w:w="28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c>
          <w:tcPr>
            <w:tcW w:w="297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294" w:hRule="atLeast"/>
        </w:trPr>
        <w:tc>
          <w:tcPr>
            <w:tcW w:w="353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r>
              <w:rPr>
                <w:rFonts w:hint="eastAsia" w:ascii="等线" w:hAnsi="等线" w:eastAsia="等线" w:cs="宋体"/>
                <w:color w:val="000000"/>
                <w:sz w:val="28"/>
                <w:szCs w:val="28"/>
              </w:rPr>
              <w:t>重庆菜园坝火车站</w:t>
            </w:r>
          </w:p>
        </w:tc>
        <w:tc>
          <w:tcPr>
            <w:tcW w:w="28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c>
          <w:tcPr>
            <w:tcW w:w="297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294" w:hRule="atLeast"/>
        </w:trPr>
        <w:tc>
          <w:tcPr>
            <w:tcW w:w="353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r>
              <w:rPr>
                <w:rFonts w:hint="eastAsia" w:ascii="等线" w:hAnsi="等线" w:eastAsia="等线" w:cs="宋体"/>
                <w:color w:val="000000"/>
                <w:sz w:val="28"/>
                <w:szCs w:val="28"/>
              </w:rPr>
              <w:t>重庆江北国际机场</w:t>
            </w:r>
          </w:p>
        </w:tc>
        <w:tc>
          <w:tcPr>
            <w:tcW w:w="28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c>
          <w:tcPr>
            <w:tcW w:w="297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294" w:hRule="atLeast"/>
        </w:trPr>
        <w:tc>
          <w:tcPr>
            <w:tcW w:w="353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r>
              <w:rPr>
                <w:rFonts w:hint="eastAsia" w:ascii="等线" w:hAnsi="等线" w:eastAsia="等线" w:cs="宋体"/>
                <w:color w:val="000000"/>
                <w:sz w:val="28"/>
                <w:szCs w:val="28"/>
              </w:rPr>
              <w:t>綦江区汽车站</w:t>
            </w:r>
          </w:p>
        </w:tc>
        <w:tc>
          <w:tcPr>
            <w:tcW w:w="2801" w:type="dxa"/>
            <w:tcBorders>
              <w:top w:val="single" w:color="auto" w:sz="4" w:space="0"/>
              <w:left w:val="nil"/>
              <w:bottom w:val="single" w:color="auto" w:sz="4" w:space="0"/>
              <w:right w:val="single" w:color="auto" w:sz="4" w:space="0"/>
              <w:tl2br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c>
          <w:tcPr>
            <w:tcW w:w="297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294" w:hRule="atLeast"/>
        </w:trPr>
        <w:tc>
          <w:tcPr>
            <w:tcW w:w="353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r>
              <w:rPr>
                <w:rFonts w:hint="eastAsia" w:ascii="等线" w:hAnsi="等线" w:eastAsia="等线" w:cs="宋体"/>
                <w:color w:val="000000"/>
                <w:sz w:val="28"/>
                <w:szCs w:val="28"/>
              </w:rPr>
              <w:t>綦江区高铁站</w:t>
            </w:r>
          </w:p>
        </w:tc>
        <w:tc>
          <w:tcPr>
            <w:tcW w:w="2801" w:type="dxa"/>
            <w:tcBorders>
              <w:top w:val="single" w:color="auto" w:sz="4" w:space="0"/>
              <w:left w:val="nil"/>
              <w:bottom w:val="single" w:color="auto" w:sz="4" w:space="0"/>
              <w:right w:val="single" w:color="auto" w:sz="4" w:space="0"/>
              <w:tl2br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c>
          <w:tcPr>
            <w:tcW w:w="297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r>
    </w:tbl>
    <w:p>
      <w:pPr>
        <w:spacing w:after="0" w:line="400" w:lineRule="exact"/>
        <w:rPr>
          <w:rFonts w:ascii="仿宋" w:hAnsi="仿宋" w:eastAsia="仿宋"/>
          <w:b/>
          <w:color w:val="000000" w:themeColor="text1"/>
          <w:sz w:val="28"/>
          <w:szCs w:val="28"/>
          <w14:textFill>
            <w14:solidFill>
              <w14:schemeClr w14:val="tx1"/>
            </w14:solidFill>
          </w14:textFill>
        </w:rPr>
      </w:pPr>
    </w:p>
    <w:tbl>
      <w:tblPr>
        <w:tblStyle w:val="26"/>
        <w:tblpPr w:leftFromText="180" w:rightFromText="180" w:vertAnchor="page" w:horzAnchor="page" w:tblpX="12233" w:tblpY="8691"/>
        <w:tblOverlap w:val="never"/>
        <w:tblW w:w="2373" w:type="dxa"/>
        <w:tblInd w:w="0" w:type="dxa"/>
        <w:tblLayout w:type="autofit"/>
        <w:tblCellMar>
          <w:top w:w="0" w:type="dxa"/>
          <w:left w:w="108" w:type="dxa"/>
          <w:bottom w:w="0" w:type="dxa"/>
          <w:right w:w="108" w:type="dxa"/>
        </w:tblCellMar>
      </w:tblPr>
      <w:tblGrid>
        <w:gridCol w:w="2373"/>
      </w:tblGrid>
      <w:tr>
        <w:tblPrEx>
          <w:tblCellMar>
            <w:top w:w="0" w:type="dxa"/>
            <w:left w:w="108" w:type="dxa"/>
            <w:bottom w:w="0" w:type="dxa"/>
            <w:right w:w="108" w:type="dxa"/>
          </w:tblCellMar>
        </w:tblPrEx>
        <w:trPr>
          <w:trHeight w:val="298" w:hRule="atLeast"/>
        </w:trPr>
        <w:tc>
          <w:tcPr>
            <w:tcW w:w="2373" w:type="dxa"/>
            <w:tcBorders>
              <w:top w:val="nil"/>
              <w:left w:val="nil"/>
              <w:bottom w:val="nil"/>
              <w:right w:val="nil"/>
            </w:tcBorders>
            <w:shd w:val="clear" w:color="auto" w:fill="auto"/>
            <w:noWrap/>
            <w:vAlign w:val="bottom"/>
          </w:tcPr>
          <w:p>
            <w:pPr>
              <w:spacing w:after="0" w:line="240" w:lineRule="exact"/>
              <w:jc w:val="left"/>
              <w:rPr>
                <w:rFonts w:ascii="仿宋" w:hAnsi="仿宋" w:eastAsia="仿宋" w:cs="宋体"/>
                <w:color w:val="000000"/>
                <w:sz w:val="20"/>
                <w:szCs w:val="20"/>
              </w:rPr>
            </w:pPr>
            <w:r>
              <w:rPr>
                <w:rFonts w:hint="eastAsia" w:ascii="仿宋" w:hAnsi="仿宋" w:eastAsia="仿宋" w:cs="宋体"/>
                <w:color w:val="000000"/>
                <w:sz w:val="20"/>
                <w:szCs w:val="20"/>
              </w:rPr>
              <w:t>报价单位（公章）：</w:t>
            </w:r>
          </w:p>
        </w:tc>
      </w:tr>
      <w:tr>
        <w:tblPrEx>
          <w:tblCellMar>
            <w:top w:w="0" w:type="dxa"/>
            <w:left w:w="108" w:type="dxa"/>
            <w:bottom w:w="0" w:type="dxa"/>
            <w:right w:w="108" w:type="dxa"/>
          </w:tblCellMar>
        </w:tblPrEx>
        <w:trPr>
          <w:trHeight w:val="298" w:hRule="atLeast"/>
        </w:trPr>
        <w:tc>
          <w:tcPr>
            <w:tcW w:w="2373" w:type="dxa"/>
            <w:tcBorders>
              <w:top w:val="nil"/>
              <w:left w:val="nil"/>
              <w:bottom w:val="nil"/>
              <w:right w:val="nil"/>
            </w:tcBorders>
            <w:shd w:val="clear" w:color="auto" w:fill="auto"/>
            <w:noWrap/>
            <w:vAlign w:val="bottom"/>
          </w:tcPr>
          <w:p>
            <w:pPr>
              <w:spacing w:after="0" w:line="240" w:lineRule="exact"/>
              <w:jc w:val="left"/>
              <w:rPr>
                <w:rFonts w:ascii="仿宋" w:hAnsi="仿宋" w:eastAsia="仿宋" w:cs="宋体"/>
                <w:color w:val="000000"/>
                <w:sz w:val="20"/>
                <w:szCs w:val="20"/>
              </w:rPr>
            </w:pPr>
            <w:r>
              <w:rPr>
                <w:rFonts w:hint="eastAsia" w:ascii="仿宋" w:hAnsi="仿宋" w:eastAsia="仿宋" w:cs="宋体"/>
                <w:color w:val="000000"/>
                <w:spacing w:val="122"/>
                <w:kern w:val="0"/>
                <w:sz w:val="20"/>
                <w:szCs w:val="20"/>
                <w:fitText w:val="1980" w:id="1557681230"/>
              </w:rPr>
              <w:t>报价时间</w:t>
            </w:r>
            <w:r>
              <w:rPr>
                <w:rFonts w:hint="eastAsia" w:ascii="仿宋" w:hAnsi="仿宋" w:eastAsia="仿宋" w:cs="宋体"/>
                <w:color w:val="000000"/>
                <w:spacing w:val="2"/>
                <w:kern w:val="0"/>
                <w:sz w:val="20"/>
                <w:szCs w:val="20"/>
                <w:fitText w:val="1980" w:id="1557681230"/>
              </w:rPr>
              <w:t>：</w:t>
            </w:r>
          </w:p>
        </w:tc>
      </w:tr>
      <w:tr>
        <w:tblPrEx>
          <w:tblCellMar>
            <w:top w:w="0" w:type="dxa"/>
            <w:left w:w="108" w:type="dxa"/>
            <w:bottom w:w="0" w:type="dxa"/>
            <w:right w:w="108" w:type="dxa"/>
          </w:tblCellMar>
        </w:tblPrEx>
        <w:trPr>
          <w:trHeight w:val="298" w:hRule="atLeast"/>
        </w:trPr>
        <w:tc>
          <w:tcPr>
            <w:tcW w:w="2373" w:type="dxa"/>
            <w:tcBorders>
              <w:top w:val="nil"/>
              <w:left w:val="nil"/>
              <w:bottom w:val="nil"/>
              <w:right w:val="nil"/>
            </w:tcBorders>
            <w:shd w:val="clear" w:color="auto" w:fill="auto"/>
            <w:noWrap/>
            <w:vAlign w:val="bottom"/>
          </w:tcPr>
          <w:p>
            <w:pPr>
              <w:spacing w:after="0" w:line="240" w:lineRule="exact"/>
              <w:jc w:val="left"/>
              <w:rPr>
                <w:rFonts w:ascii="仿宋" w:hAnsi="仿宋" w:eastAsia="仿宋" w:cs="宋体"/>
                <w:color w:val="000000"/>
                <w:sz w:val="20"/>
                <w:szCs w:val="20"/>
              </w:rPr>
            </w:pPr>
            <w:r>
              <w:rPr>
                <w:rFonts w:hint="eastAsia" w:ascii="仿宋" w:hAnsi="仿宋" w:eastAsia="仿宋" w:cs="宋体"/>
                <w:color w:val="000000"/>
                <w:spacing w:val="196"/>
                <w:kern w:val="0"/>
                <w:sz w:val="20"/>
                <w:szCs w:val="20"/>
                <w:fitText w:val="1980" w:id="1683696835"/>
              </w:rPr>
              <w:t>联系人</w:t>
            </w:r>
            <w:r>
              <w:rPr>
                <w:rFonts w:hint="eastAsia" w:ascii="仿宋" w:hAnsi="仿宋" w:eastAsia="仿宋" w:cs="宋体"/>
                <w:color w:val="000000"/>
                <w:spacing w:val="2"/>
                <w:kern w:val="0"/>
                <w:sz w:val="20"/>
                <w:szCs w:val="20"/>
                <w:fitText w:val="1980" w:id="1683696835"/>
              </w:rPr>
              <w:t>：</w:t>
            </w:r>
          </w:p>
        </w:tc>
      </w:tr>
      <w:tr>
        <w:tblPrEx>
          <w:tblCellMar>
            <w:top w:w="0" w:type="dxa"/>
            <w:left w:w="108" w:type="dxa"/>
            <w:bottom w:w="0" w:type="dxa"/>
            <w:right w:w="108" w:type="dxa"/>
          </w:tblCellMar>
        </w:tblPrEx>
        <w:trPr>
          <w:trHeight w:val="298" w:hRule="atLeast"/>
        </w:trPr>
        <w:tc>
          <w:tcPr>
            <w:tcW w:w="2373" w:type="dxa"/>
            <w:tcBorders>
              <w:top w:val="nil"/>
              <w:left w:val="nil"/>
              <w:bottom w:val="nil"/>
              <w:right w:val="nil"/>
            </w:tcBorders>
            <w:shd w:val="clear" w:color="auto" w:fill="auto"/>
            <w:noWrap/>
            <w:vAlign w:val="bottom"/>
          </w:tcPr>
          <w:p>
            <w:pPr>
              <w:spacing w:after="0" w:line="240" w:lineRule="exact"/>
              <w:jc w:val="left"/>
              <w:rPr>
                <w:rFonts w:ascii="仿宋" w:hAnsi="仿宋" w:eastAsia="仿宋" w:cs="宋体"/>
                <w:color w:val="000000"/>
                <w:sz w:val="20"/>
                <w:szCs w:val="20"/>
              </w:rPr>
            </w:pPr>
            <w:r>
              <w:rPr>
                <w:rFonts w:hint="eastAsia" w:ascii="仿宋" w:hAnsi="仿宋" w:eastAsia="仿宋" w:cs="宋体"/>
                <w:color w:val="000000"/>
                <w:spacing w:val="122"/>
                <w:kern w:val="0"/>
                <w:sz w:val="20"/>
                <w:szCs w:val="20"/>
                <w:fitText w:val="1980" w:id="512252861"/>
              </w:rPr>
              <w:t>联系电话</w:t>
            </w:r>
            <w:r>
              <w:rPr>
                <w:rFonts w:hint="eastAsia" w:ascii="仿宋" w:hAnsi="仿宋" w:eastAsia="仿宋" w:cs="宋体"/>
                <w:color w:val="000000"/>
                <w:spacing w:val="2"/>
                <w:kern w:val="0"/>
                <w:sz w:val="20"/>
                <w:szCs w:val="20"/>
                <w:fitText w:val="1980" w:id="512252861"/>
              </w:rPr>
              <w:t>：</w:t>
            </w:r>
          </w:p>
        </w:tc>
      </w:tr>
    </w:tbl>
    <w:p>
      <w:pPr>
        <w:tabs>
          <w:tab w:val="left" w:pos="8762"/>
          <w:tab w:val="left" w:pos="9356"/>
          <w:tab w:val="left" w:pos="10138"/>
          <w:tab w:val="left" w:pos="10993"/>
          <w:tab w:val="left" w:pos="11702"/>
          <w:tab w:val="left" w:pos="12411"/>
          <w:tab w:val="left" w:pos="13261"/>
          <w:tab w:val="left" w:pos="14112"/>
        </w:tabs>
        <w:spacing w:after="0" w:line="240" w:lineRule="auto"/>
        <w:ind w:right="-141" w:rightChars="-64"/>
        <w:jc w:val="left"/>
        <w:rPr>
          <w:rFonts w:ascii="仿宋" w:hAnsi="仿宋" w:eastAsia="仿宋"/>
          <w:sz w:val="28"/>
          <w:szCs w:val="28"/>
        </w:rPr>
      </w:pPr>
      <w:r>
        <w:rPr>
          <w:rFonts w:ascii="仿宋" w:hAnsi="仿宋" w:eastAsia="仿宋"/>
          <w:sz w:val="28"/>
          <w:szCs w:val="28"/>
        </w:rPr>
        <w:t>注：1.</w:t>
      </w:r>
      <w:r>
        <w:rPr>
          <w:rFonts w:hint="eastAsia" w:ascii="仿宋" w:hAnsi="仿宋" w:eastAsia="仿宋"/>
          <w:sz w:val="28"/>
          <w:szCs w:val="28"/>
        </w:rPr>
        <w:t>学校迎新站点为本项目车辆服务起点，终点分别为渝北、綦江两校区；</w:t>
      </w:r>
    </w:p>
    <w:p>
      <w:pPr>
        <w:tabs>
          <w:tab w:val="left" w:pos="8762"/>
          <w:tab w:val="left" w:pos="9450"/>
          <w:tab w:val="left" w:pos="10138"/>
          <w:tab w:val="left" w:pos="10993"/>
          <w:tab w:val="left" w:pos="11702"/>
          <w:tab w:val="left" w:pos="12411"/>
          <w:tab w:val="left" w:pos="13261"/>
          <w:tab w:val="left" w:pos="14112"/>
        </w:tabs>
        <w:spacing w:after="0" w:line="240" w:lineRule="auto"/>
        <w:ind w:left="850" w:leftChars="258" w:hanging="282"/>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此公开询价表采用从起点至渝北、綦江两校区往返均按照每人次填报乘车单价。</w:t>
      </w:r>
    </w:p>
    <w:p>
      <w:pPr>
        <w:pStyle w:val="17"/>
        <w:spacing w:line="500" w:lineRule="exact"/>
        <w:ind w:firstLine="560" w:firstLineChars="200"/>
        <w:rPr>
          <w:rFonts w:ascii="仿宋" w:hAnsi="仿宋" w:eastAsia="仿宋"/>
          <w:color w:val="000000"/>
          <w:sz w:val="28"/>
        </w:rPr>
      </w:pPr>
      <w:bookmarkStart w:id="11" w:name="_Hlk36568361"/>
      <w:r>
        <w:rPr>
          <w:rFonts w:ascii="仿宋" w:hAnsi="仿宋" w:eastAsia="仿宋"/>
          <w:sz w:val="28"/>
          <w:szCs w:val="28"/>
        </w:rPr>
        <w:t>3.</w:t>
      </w:r>
      <w:bookmarkStart w:id="12" w:name="_Hlk48211012"/>
      <w:r>
        <w:rPr>
          <w:rFonts w:hint="eastAsia" w:ascii="仿宋" w:hAnsi="仿宋" w:eastAsia="仿宋"/>
          <w:sz w:val="28"/>
          <w:szCs w:val="28"/>
        </w:rPr>
        <w:t>此报价表采用全费用</w:t>
      </w:r>
      <w:r>
        <w:rPr>
          <w:rFonts w:hint="eastAsia" w:ascii="仿宋" w:hAnsi="仿宋" w:eastAsia="仿宋"/>
          <w:sz w:val="28"/>
          <w:szCs w:val="28"/>
          <w:lang w:val="en-US" w:eastAsia="zh-CN"/>
        </w:rPr>
        <w:t>综合</w:t>
      </w:r>
      <w:r>
        <w:rPr>
          <w:rFonts w:hint="eastAsia" w:ascii="仿宋" w:hAnsi="仿宋" w:eastAsia="仿宋"/>
          <w:sz w:val="28"/>
          <w:szCs w:val="28"/>
        </w:rPr>
        <w:t>单价包干结算。</w:t>
      </w:r>
      <w:bookmarkEnd w:id="11"/>
      <w:bookmarkEnd w:id="12"/>
    </w:p>
    <w:p>
      <w:pPr>
        <w:snapToGrid w:val="0"/>
        <w:spacing w:after="0" w:line="360" w:lineRule="auto"/>
        <w:rPr>
          <w:rFonts w:ascii="仿宋" w:hAnsi="仿宋" w:eastAsia="仿宋" w:cs="仿宋"/>
          <w:color w:val="000000" w:themeColor="text1"/>
          <w:sz w:val="28"/>
          <w:szCs w:val="28"/>
          <w14:textFill>
            <w14:solidFill>
              <w14:schemeClr w14:val="tx1"/>
            </w14:solidFill>
          </w14:textFill>
        </w:rPr>
        <w:sectPr>
          <w:headerReference r:id="rId8" w:type="first"/>
          <w:headerReference r:id="rId7" w:type="default"/>
          <w:pgSz w:w="11907" w:h="16840"/>
          <w:pgMar w:top="2286" w:right="1418" w:bottom="1134" w:left="1134" w:header="567" w:footer="284" w:gutter="0"/>
          <w:cols w:space="425" w:num="1"/>
          <w:titlePg/>
          <w:docGrid w:type="lines" w:linePitch="312" w:charSpace="0"/>
        </w:sectPr>
      </w:pPr>
    </w:p>
    <w:p>
      <w:r>
        <w:drawing>
          <wp:inline distT="0" distB="0" distL="0" distR="0">
            <wp:extent cx="5941060" cy="1324610"/>
            <wp:effectExtent l="0" t="0" r="254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inline>
        </w:drawing>
      </w:r>
    </w:p>
    <w:p>
      <w:pPr>
        <w:spacing w:line="1000" w:lineRule="exact"/>
        <w:jc w:val="both"/>
        <w:rPr>
          <w:rFonts w:ascii="仿宋" w:hAnsi="仿宋" w:eastAsia="仿宋"/>
          <w:b/>
          <w:color w:val="000000" w:themeColor="text1"/>
          <w:sz w:val="44"/>
          <w:szCs w:val="44"/>
          <w14:textFill>
            <w14:solidFill>
              <w14:schemeClr w14:val="tx1"/>
            </w14:solidFill>
          </w14:textFill>
        </w:rPr>
      </w:pPr>
    </w:p>
    <w:p>
      <w:pPr>
        <w:spacing w:line="100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关于迎新车辆外包服务项目</w:t>
      </w:r>
    </w:p>
    <w:p>
      <w:pPr>
        <w:spacing w:line="580" w:lineRule="exact"/>
        <w:jc w:val="center"/>
        <w:rPr>
          <w:rFonts w:ascii="仿宋" w:hAnsi="仿宋" w:eastAsia="仿宋"/>
          <w:b/>
          <w:color w:val="000000" w:themeColor="text1"/>
          <w:sz w:val="52"/>
          <w:szCs w:val="52"/>
          <w14:textFill>
            <w14:solidFill>
              <w14:schemeClr w14:val="tx1"/>
            </w14:solidFill>
          </w14:textFill>
        </w:rPr>
      </w:pPr>
    </w:p>
    <w:p>
      <w:pPr>
        <w:pStyle w:val="2"/>
      </w:pP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pPr>
        <w:spacing w:line="580" w:lineRule="exact"/>
        <w:jc w:val="center"/>
        <w:rPr>
          <w:rFonts w:ascii="仿宋" w:hAnsi="仿宋" w:eastAsia="仿宋"/>
          <w:b/>
          <w:color w:val="000000" w:themeColor="text1"/>
          <w:sz w:val="72"/>
          <w:szCs w:val="72"/>
          <w14:textFill>
            <w14:solidFill>
              <w14:schemeClr w14:val="tx1"/>
            </w14:solidFill>
          </w14:textFill>
        </w:rPr>
      </w:pP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参与人名称（公司全称）：</w:t>
      </w:r>
      <w:r>
        <w:rPr>
          <w:rFonts w:ascii="仿宋" w:hAnsi="仿宋" w:eastAsia="仿宋"/>
          <w:b/>
          <w:color w:val="000000" w:themeColor="text1"/>
          <w:sz w:val="36"/>
          <w:szCs w:val="36"/>
          <w14:textFill>
            <w14:solidFill>
              <w14:schemeClr w14:val="tx1"/>
            </w14:solidFill>
          </w14:textFill>
        </w:rPr>
        <w:t>XXXX</w:t>
      </w: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参与人授权代表：X</w:t>
      </w:r>
      <w:r>
        <w:rPr>
          <w:rFonts w:ascii="仿宋" w:hAnsi="仿宋" w:eastAsia="仿宋"/>
          <w:b/>
          <w:color w:val="000000" w:themeColor="text1"/>
          <w:sz w:val="36"/>
          <w:szCs w:val="36"/>
          <w14:textFill>
            <w14:solidFill>
              <w14:schemeClr w14:val="tx1"/>
            </w14:solidFill>
          </w14:textFill>
        </w:rPr>
        <w:t>XXX</w:t>
      </w:r>
    </w:p>
    <w:p>
      <w:pPr>
        <w:jc w:val="center"/>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pPr>
        <w:pStyle w:val="2"/>
      </w:pPr>
    </w:p>
    <w:p>
      <w:pPr>
        <w:rPr>
          <w:rFonts w:ascii="仿宋" w:hAnsi="仿宋" w:eastAsia="仿宋"/>
          <w:b/>
          <w:bCs/>
          <w:color w:val="000000" w:themeColor="text1"/>
          <w:sz w:val="30"/>
          <w:szCs w:val="30"/>
          <w14:textFill>
            <w14:solidFill>
              <w14:schemeClr w14:val="tx1"/>
            </w14:solidFill>
          </w14:textFill>
        </w:rPr>
        <w:sectPr>
          <w:headerReference r:id="rId9" w:type="first"/>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color w:val="000000" w:themeColor="text1"/>
          <w:sz w:val="28"/>
          <w:szCs w:val="28"/>
          <w14:textFill>
            <w14:solidFill>
              <w14:schemeClr w14:val="tx1"/>
            </w14:solidFill>
          </w14:textFill>
        </w:rPr>
      </w:pPr>
      <w:bookmarkStart w:id="13" w:name="_Toc267059653"/>
      <w:bookmarkStart w:id="14" w:name="_Toc273178698"/>
      <w:bookmarkStart w:id="15" w:name="_Toc267059806"/>
      <w:bookmarkStart w:id="16" w:name="_Toc192663686"/>
      <w:bookmarkStart w:id="17" w:name="_Toc267059181"/>
      <w:bookmarkStart w:id="18" w:name="_Toc235438274"/>
      <w:bookmarkStart w:id="19" w:name="_Toc217891402"/>
      <w:bookmarkStart w:id="20" w:name="_Toc192664153"/>
      <w:bookmarkStart w:id="21" w:name="_Toc230071147"/>
      <w:bookmarkStart w:id="22" w:name="_Toc191802690"/>
      <w:bookmarkStart w:id="23" w:name="_Toc266868937"/>
      <w:bookmarkStart w:id="24" w:name="_Toc213755858"/>
      <w:bookmarkStart w:id="25" w:name="_Toc259692647"/>
      <w:bookmarkStart w:id="26" w:name="_Toc169332949"/>
      <w:bookmarkStart w:id="27" w:name="_Toc249325711"/>
      <w:bookmarkStart w:id="28" w:name="_Toc232302115"/>
      <w:bookmarkStart w:id="29" w:name="_Toc267059919"/>
      <w:bookmarkStart w:id="30" w:name="_Toc267059539"/>
      <w:bookmarkStart w:id="31" w:name="_Toc267060453"/>
      <w:bookmarkStart w:id="32" w:name="_Toc193160448"/>
      <w:bookmarkStart w:id="33" w:name="_Toc255975007"/>
      <w:bookmarkStart w:id="34" w:name="_Toc267060068"/>
      <w:bookmarkStart w:id="35" w:name="_Toc213755939"/>
      <w:bookmarkStart w:id="36" w:name="_Toc213756051"/>
      <w:bookmarkStart w:id="37" w:name="_Toc267059030"/>
      <w:bookmarkStart w:id="38" w:name="_Toc235437991"/>
      <w:bookmarkStart w:id="39" w:name="_Toc258401256"/>
      <w:bookmarkStart w:id="40" w:name="_Toc266868670"/>
      <w:bookmarkStart w:id="41" w:name="_Toc213208766"/>
      <w:bookmarkStart w:id="42" w:name="_Toc193165734"/>
      <w:bookmarkStart w:id="43" w:name="_Toc225669322"/>
      <w:bookmarkStart w:id="44" w:name="_Toc251586231"/>
      <w:bookmarkStart w:id="45" w:name="_Toc267060321"/>
      <w:bookmarkStart w:id="46" w:name="_Toc182805217"/>
      <w:bookmarkStart w:id="47" w:name="_Toc267060208"/>
      <w:bookmarkStart w:id="48" w:name="_Toc266870833"/>
      <w:bookmarkStart w:id="49" w:name="_Toc213755995"/>
      <w:bookmarkStart w:id="50" w:name="_Toc192663835"/>
      <w:bookmarkStart w:id="51" w:name="_Toc160880529"/>
      <w:bookmarkStart w:id="52" w:name="_Toc192996338"/>
      <w:bookmarkStart w:id="53" w:name="_Toc236021449"/>
      <w:bookmarkStart w:id="54" w:name="_Toc170798793"/>
      <w:bookmarkStart w:id="55" w:name="_Toc223146608"/>
      <w:bookmarkStart w:id="56" w:name="_Toc192996446"/>
      <w:bookmarkStart w:id="57" w:name="_Toc259520865"/>
      <w:bookmarkStart w:id="58" w:name="_Toc177985469"/>
      <w:bookmarkStart w:id="59" w:name="_Toc251613829"/>
      <w:bookmarkStart w:id="60" w:name="_Toc203355733"/>
      <w:bookmarkStart w:id="61" w:name="_Toc191783222"/>
      <w:bookmarkStart w:id="62" w:name="_Toc266870432"/>
      <w:bookmarkStart w:id="63" w:name="_Toc169332838"/>
      <w:bookmarkStart w:id="64" w:name="_Toc227058530"/>
      <w:bookmarkStart w:id="65" w:name="_Toc191803626"/>
      <w:bookmarkStart w:id="66" w:name="_Toc181436461"/>
      <w:bookmarkStart w:id="67" w:name="_Toc259692740"/>
      <w:bookmarkStart w:id="68" w:name="_Toc180302913"/>
      <w:bookmarkStart w:id="69" w:name="_Toc253066614"/>
      <w:bookmarkStart w:id="70" w:name="_Toc266870907"/>
      <w:bookmarkStart w:id="71" w:name="_Toc182372782"/>
      <w:bookmarkStart w:id="72" w:name="_Toc219800243"/>
      <w:bookmarkStart w:id="73" w:name="_Toc191789329"/>
      <w:bookmarkStart w:id="74" w:name="_Toc235438344"/>
      <w:bookmarkStart w:id="75" w:name="_Toc181436565"/>
      <w:bookmarkStart w:id="76" w:name="_Toc254790899"/>
      <w:bookmarkStart w:id="77" w:name="_Toc160880160"/>
      <w:bookmarkStart w:id="78" w:name="_Toc211917116"/>
      <w:r>
        <w:rPr>
          <w:rFonts w:hint="eastAsia" w:ascii="仿宋" w:hAnsi="仿宋" w:eastAsia="仿宋"/>
          <w:b/>
          <w:bCs/>
          <w:color w:val="000000" w:themeColor="text1"/>
          <w:sz w:val="28"/>
          <w:szCs w:val="28"/>
          <w14:textFill>
            <w14:solidFill>
              <w14:schemeClr w14:val="tx1"/>
            </w14:solidFill>
          </w14:textFill>
        </w:rPr>
        <w:t>1、</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Start w:id="79" w:name="_Hlk47536799"/>
      <w:r>
        <w:rPr>
          <w:rFonts w:hint="eastAsia" w:ascii="仿宋" w:hAnsi="仿宋" w:eastAsia="仿宋"/>
          <w:b/>
          <w:bCs/>
          <w:color w:val="000000" w:themeColor="text1"/>
          <w:sz w:val="28"/>
          <w:szCs w:val="28"/>
          <w14:textFill>
            <w14:solidFill>
              <w14:schemeClr w14:val="tx1"/>
            </w14:solidFill>
          </w14:textFill>
        </w:rPr>
        <w:t>询价响应函</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致：重庆外语外事学院</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根据贵方关于迎新车辆外包服务的公开询价邀请（编号）:</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本签字代表</w:t>
      </w:r>
      <w:r>
        <w:rPr>
          <w:rFonts w:hint="eastAsia" w:ascii="仿宋" w:hAnsi="仿宋" w:eastAsia="仿宋"/>
          <w:color w:val="000000" w:themeColor="text1"/>
          <w:sz w:val="28"/>
          <w:szCs w:val="28"/>
          <w:u w:val="single"/>
          <w14:textFill>
            <w14:solidFill>
              <w14:schemeClr w14:val="tx1"/>
            </w14:solidFill>
          </w14:textFill>
        </w:rPr>
        <w:t>（全名、职务）</w:t>
      </w:r>
      <w:r>
        <w:rPr>
          <w:rFonts w:hint="eastAsia" w:ascii="仿宋" w:hAnsi="仿宋" w:eastAsia="仿宋"/>
          <w:color w:val="000000" w:themeColor="text1"/>
          <w:sz w:val="28"/>
          <w:szCs w:val="28"/>
          <w14:textFill>
            <w14:solidFill>
              <w14:schemeClr w14:val="tx1"/>
            </w14:solidFill>
          </w14:textFill>
        </w:rPr>
        <w:t>正式授权并代表我方</w:t>
      </w:r>
      <w:r>
        <w:rPr>
          <w:rFonts w:hint="eastAsia" w:ascii="仿宋" w:hAnsi="仿宋" w:eastAsia="仿宋"/>
          <w:color w:val="000000" w:themeColor="text1"/>
          <w:sz w:val="28"/>
          <w:szCs w:val="28"/>
          <w:u w:val="single"/>
          <w14:textFill>
            <w14:solidFill>
              <w14:schemeClr w14:val="tx1"/>
            </w14:solidFill>
          </w14:textFill>
        </w:rPr>
        <w:t>（参与人公司名称、地址）</w:t>
      </w:r>
      <w:r>
        <w:rPr>
          <w:rFonts w:hint="eastAsia" w:ascii="仿宋" w:hAnsi="仿宋" w:eastAsia="仿宋"/>
          <w:color w:val="000000" w:themeColor="text1"/>
          <w:sz w:val="28"/>
          <w:szCs w:val="28"/>
          <w14:textFill>
            <w14:solidFill>
              <w14:schemeClr w14:val="tx1"/>
            </w14:solidFill>
          </w14:textFill>
        </w:rPr>
        <w:t>提交下述文件正本1份和副本1份。</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 分项报价表</w:t>
      </w:r>
    </w:p>
    <w:p>
      <w:pPr>
        <w:spacing w:after="0" w:line="480" w:lineRule="exact"/>
        <w:ind w:firstLine="565" w:firstLineChars="20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 参与人资格证明文件</w:t>
      </w:r>
    </w:p>
    <w:p>
      <w:pPr>
        <w:spacing w:after="0" w:line="480" w:lineRule="exact"/>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 质保和后期服务承诺书</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据此函，签字代表宣布同意如下：</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1.所附详细报价表中规定的应提供和交付的货物及服务报价总价（国内现场交货价）为人民币</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，即</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（中文表述）</w:t>
      </w:r>
      <w:r>
        <w:rPr>
          <w:rFonts w:hint="eastAsia" w:ascii="仿宋" w:hAnsi="仿宋" w:eastAsia="仿宋"/>
          <w:color w:val="000000" w:themeColor="text1"/>
          <w:sz w:val="28"/>
          <w:szCs w:val="28"/>
          <w14:textFill>
            <w14:solidFill>
              <w14:schemeClr w14:val="tx1"/>
            </w14:solidFill>
          </w14:textFill>
        </w:rPr>
        <w:t>。</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4.参与人将按公开询价文件的规定履行合同责任和义务。</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.与本此公开询价有关的一切正式往来通讯请寄：</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地址：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邮编： </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电话：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传真： </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参与人授权代表签字： </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参与人（公司全称并加盖公章）：</w:t>
      </w:r>
    </w:p>
    <w:p>
      <w:pPr>
        <w:pStyle w:val="63"/>
        <w:spacing w:line="480" w:lineRule="exact"/>
        <w:jc w:val="left"/>
        <w:outlineLvl w:val="9"/>
        <w:rPr>
          <w:rFonts w:ascii="仿宋" w:hAnsi="仿宋" w:eastAsia="仿宋"/>
          <w:color w:val="000000" w:themeColor="text1"/>
          <w:szCs w:val="28"/>
          <w14:textFill>
            <w14:solidFill>
              <w14:schemeClr w14:val="tx1"/>
            </w14:solidFill>
          </w14:textFill>
        </w:rPr>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000000" w:themeColor="text1"/>
          <w:szCs w:val="28"/>
          <w14:textFill>
            <w14:solidFill>
              <w14:schemeClr w14:val="tx1"/>
            </w14:solidFill>
          </w14:textFill>
        </w:rPr>
        <w:t xml:space="preserve">      日  期： 年 月 日</w:t>
      </w:r>
      <w:bookmarkEnd w:id="79"/>
    </w:p>
    <w:p>
      <w:pPr>
        <w:keepNext w:val="0"/>
        <w:keepLines w:val="0"/>
        <w:pageBreakBefore w:val="0"/>
        <w:widowControl/>
        <w:kinsoku/>
        <w:wordWrap/>
        <w:overflowPunct/>
        <w:topLinePunct w:val="0"/>
        <w:autoSpaceDE/>
        <w:autoSpaceDN/>
        <w:bidi w:val="0"/>
        <w:adjustRightInd/>
        <w:snapToGrid/>
        <w:spacing w:after="0"/>
        <w:jc w:val="center"/>
        <w:textAlignment w:val="auto"/>
        <w:outlineLvl w:val="1"/>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、货物报价一览表</w:t>
      </w:r>
    </w:p>
    <w:p>
      <w:pPr>
        <w:spacing w:line="380" w:lineRule="exact"/>
        <w:ind w:left="147" w:leftChars="67"/>
        <w:rPr>
          <w:rFonts w:ascii="仿宋" w:hAnsi="仿宋" w:eastAsia="仿宋"/>
          <w:sz w:val="28"/>
          <w:szCs w:val="28"/>
        </w:rPr>
      </w:pPr>
      <w:bookmarkStart w:id="80" w:name="_Toc181436466"/>
      <w:bookmarkStart w:id="81" w:name="_Toc267060461"/>
      <w:bookmarkStart w:id="82" w:name="_Toc266870839"/>
      <w:bookmarkStart w:id="83" w:name="_Toc253066624"/>
      <w:bookmarkStart w:id="84" w:name="_Toc217891408"/>
      <w:bookmarkStart w:id="85" w:name="_Toc191789334"/>
      <w:bookmarkStart w:id="86" w:name="_Toc267059186"/>
      <w:bookmarkStart w:id="87" w:name="_Toc254790909"/>
      <w:bookmarkStart w:id="88" w:name="_Toc213756001"/>
      <w:bookmarkStart w:id="89" w:name="_Toc169332843"/>
      <w:bookmarkStart w:id="90" w:name="_Toc258401265"/>
      <w:bookmarkStart w:id="91" w:name="_Toc213208771"/>
      <w:bookmarkStart w:id="92" w:name="_Toc203355738"/>
      <w:bookmarkStart w:id="93" w:name="_Toc211917121"/>
      <w:bookmarkStart w:id="94" w:name="_Toc182805222"/>
      <w:bookmarkStart w:id="95" w:name="_Toc213755864"/>
      <w:bookmarkStart w:id="96" w:name="_Toc236021457"/>
      <w:bookmarkStart w:id="97" w:name="_Toc193165739"/>
      <w:bookmarkStart w:id="98" w:name="_Toc251586241"/>
      <w:bookmarkStart w:id="99" w:name="_Toc267060076"/>
      <w:bookmarkStart w:id="100" w:name="_Toc232302122"/>
      <w:bookmarkStart w:id="101" w:name="_Toc267059035"/>
      <w:bookmarkStart w:id="102" w:name="_Toc266868943"/>
      <w:bookmarkStart w:id="103" w:name="_Toc177985474"/>
      <w:bookmarkStart w:id="104" w:name="_Toc191802695"/>
      <w:bookmarkStart w:id="105" w:name="_Toc182372787"/>
      <w:bookmarkStart w:id="106" w:name="_Toc235438281"/>
      <w:bookmarkStart w:id="107" w:name="_Toc193160453"/>
      <w:bookmarkStart w:id="108" w:name="_Toc266870441"/>
      <w:bookmarkStart w:id="109" w:name="_Toc219800249"/>
      <w:bookmarkStart w:id="110" w:name="_Toc255975016"/>
      <w:bookmarkStart w:id="111" w:name="_Toc249325720"/>
      <w:bookmarkStart w:id="112" w:name="_Toc191783227"/>
      <w:bookmarkStart w:id="113" w:name="_Toc267059924"/>
      <w:bookmarkStart w:id="114" w:name="_Toc266870916"/>
      <w:bookmarkStart w:id="115" w:name="_Toc267060326"/>
      <w:bookmarkStart w:id="116" w:name="_Toc227058536"/>
      <w:bookmarkStart w:id="117" w:name="_Toc192996343"/>
      <w:bookmarkStart w:id="118" w:name="_Toc223146614"/>
      <w:bookmarkStart w:id="119" w:name="_Toc273178703"/>
      <w:bookmarkStart w:id="120" w:name="_Toc235438352"/>
      <w:bookmarkStart w:id="121" w:name="_Toc192996451"/>
      <w:bookmarkStart w:id="122" w:name="_Toc213756057"/>
      <w:bookmarkStart w:id="123" w:name="_Toc259520874"/>
      <w:bookmarkStart w:id="124" w:name="_Toc169332954"/>
      <w:bookmarkStart w:id="125" w:name="_Toc192663840"/>
      <w:bookmarkStart w:id="126" w:name="_Toc160880534"/>
      <w:bookmarkStart w:id="127" w:name="_Toc191803631"/>
      <w:bookmarkStart w:id="128" w:name="_Toc192664158"/>
      <w:bookmarkStart w:id="129" w:name="_Toc259692749"/>
      <w:bookmarkStart w:id="130" w:name="_Toc181436570"/>
      <w:bookmarkStart w:id="131" w:name="_Toc192663691"/>
      <w:bookmarkStart w:id="132" w:name="_Toc160880165"/>
      <w:bookmarkStart w:id="133" w:name="_Toc267060216"/>
      <w:bookmarkStart w:id="134" w:name="_Toc230071153"/>
      <w:bookmarkStart w:id="135" w:name="_Toc213755945"/>
      <w:bookmarkStart w:id="136" w:name="_Toc267059658"/>
      <w:bookmarkStart w:id="137" w:name="_Toc259692656"/>
      <w:bookmarkStart w:id="138" w:name="_Toc170798798"/>
      <w:bookmarkStart w:id="139" w:name="_Toc225669328"/>
      <w:bookmarkStart w:id="140" w:name="_Toc266868679"/>
      <w:bookmarkStart w:id="141" w:name="_Toc251613839"/>
      <w:bookmarkStart w:id="142" w:name="_Toc235437998"/>
      <w:bookmarkStart w:id="143" w:name="_Toc267059544"/>
      <w:bookmarkStart w:id="144" w:name="_Toc267059811"/>
      <w:bookmarkStart w:id="145" w:name="_Toc180302918"/>
      <w:r>
        <w:rPr>
          <w:rFonts w:hint="eastAsia" w:ascii="仿宋" w:hAnsi="仿宋" w:eastAsia="仿宋"/>
          <w:sz w:val="28"/>
          <w:szCs w:val="28"/>
        </w:rPr>
        <w:t>参与人：</w:t>
      </w:r>
      <w:r>
        <w:rPr>
          <w:rFonts w:hint="eastAsia" w:ascii="仿宋" w:hAnsi="仿宋" w:eastAsia="仿宋"/>
          <w:sz w:val="28"/>
          <w:szCs w:val="28"/>
          <w:lang w:val="zh-CN"/>
        </w:rPr>
        <w:t>（全称并加盖公章）</w:t>
      </w:r>
      <w:r>
        <w:rPr>
          <w:rFonts w:hint="eastAsia" w:ascii="仿宋" w:hAnsi="仿宋" w:eastAsia="仿宋"/>
          <w:sz w:val="28"/>
          <w:szCs w:val="28"/>
        </w:rPr>
        <w:t xml:space="preserve">                   磋商编号：</w:t>
      </w:r>
    </w:p>
    <w:p>
      <w:pPr>
        <w:spacing w:line="380" w:lineRule="exact"/>
        <w:ind w:left="147" w:leftChars="67"/>
        <w:rPr>
          <w:rFonts w:hint="eastAsia" w:ascii="仿宋" w:hAnsi="仿宋" w:eastAsia="仿宋"/>
          <w:sz w:val="28"/>
          <w:szCs w:val="28"/>
        </w:rPr>
      </w:pPr>
      <w:r>
        <w:rPr>
          <w:rFonts w:hint="eastAsia" w:ascii="仿宋" w:hAnsi="仿宋" w:eastAsia="仿宋"/>
          <w:sz w:val="28"/>
          <w:szCs w:val="28"/>
        </w:rPr>
        <w:t>货币单位：</w:t>
      </w:r>
    </w:p>
    <w:p>
      <w:pPr>
        <w:spacing w:after="0"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项目名称：迎新车辆外包服务</w:t>
      </w:r>
    </w:p>
    <w:p>
      <w:pPr>
        <w:spacing w:after="0" w:line="400" w:lineRule="exact"/>
        <w:rPr>
          <w:rFonts w:ascii="仿宋" w:hAnsi="仿宋" w:eastAsia="仿宋"/>
          <w:b/>
          <w:color w:val="000000" w:themeColor="text1"/>
          <w:sz w:val="28"/>
          <w:szCs w:val="28"/>
          <w14:textFill>
            <w14:solidFill>
              <w14:schemeClr w14:val="tx1"/>
            </w14:solidFill>
          </w14:textFill>
        </w:rPr>
      </w:pPr>
    </w:p>
    <w:tbl>
      <w:tblPr>
        <w:tblStyle w:val="26"/>
        <w:tblW w:w="9315" w:type="dxa"/>
        <w:tblInd w:w="113" w:type="dxa"/>
        <w:tblLayout w:type="autofit"/>
        <w:tblCellMar>
          <w:top w:w="0" w:type="dxa"/>
          <w:left w:w="108" w:type="dxa"/>
          <w:bottom w:w="0" w:type="dxa"/>
          <w:right w:w="108" w:type="dxa"/>
        </w:tblCellMar>
      </w:tblPr>
      <w:tblGrid>
        <w:gridCol w:w="3537"/>
        <w:gridCol w:w="2801"/>
        <w:gridCol w:w="2977"/>
      </w:tblGrid>
      <w:tr>
        <w:tblPrEx>
          <w:tblCellMar>
            <w:top w:w="0" w:type="dxa"/>
            <w:left w:w="108" w:type="dxa"/>
            <w:bottom w:w="0" w:type="dxa"/>
            <w:right w:w="108" w:type="dxa"/>
          </w:tblCellMar>
        </w:tblPrEx>
        <w:trPr>
          <w:trHeight w:val="294" w:hRule="atLeast"/>
        </w:trPr>
        <w:tc>
          <w:tcPr>
            <w:tcW w:w="3537" w:type="dxa"/>
            <w:vMerge w:val="restart"/>
            <w:tcBorders>
              <w:top w:val="single" w:color="auto" w:sz="4" w:space="0"/>
              <w:left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b/>
                <w:bCs/>
                <w:color w:val="000000"/>
                <w:sz w:val="28"/>
                <w:szCs w:val="28"/>
              </w:rPr>
            </w:pPr>
            <w:r>
              <w:rPr>
                <w:rFonts w:hint="eastAsia" w:ascii="等线" w:hAnsi="等线" w:eastAsia="等线" w:cs="宋体"/>
                <w:b/>
                <w:bCs/>
                <w:color w:val="000000"/>
                <w:sz w:val="28"/>
                <w:szCs w:val="28"/>
              </w:rPr>
              <w:t>起点</w:t>
            </w:r>
          </w:p>
        </w:tc>
        <w:tc>
          <w:tcPr>
            <w:tcW w:w="5778" w:type="dxa"/>
            <w:gridSpan w:val="2"/>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b/>
                <w:bCs/>
                <w:color w:val="000000"/>
                <w:sz w:val="28"/>
                <w:szCs w:val="28"/>
              </w:rPr>
            </w:pPr>
            <w:r>
              <w:rPr>
                <w:rFonts w:hint="eastAsia" w:ascii="等线" w:hAnsi="等线" w:eastAsia="等线" w:cs="宋体"/>
                <w:b/>
                <w:bCs/>
                <w:color w:val="000000"/>
                <w:sz w:val="28"/>
                <w:szCs w:val="28"/>
              </w:rPr>
              <w:t>终点</w:t>
            </w:r>
          </w:p>
        </w:tc>
      </w:tr>
      <w:tr>
        <w:tblPrEx>
          <w:tblCellMar>
            <w:top w:w="0" w:type="dxa"/>
            <w:left w:w="108" w:type="dxa"/>
            <w:bottom w:w="0" w:type="dxa"/>
            <w:right w:w="108" w:type="dxa"/>
          </w:tblCellMar>
        </w:tblPrEx>
        <w:trPr>
          <w:trHeight w:val="294" w:hRule="atLeast"/>
        </w:trPr>
        <w:tc>
          <w:tcPr>
            <w:tcW w:w="3537" w:type="dxa"/>
            <w:vMerge w:val="continue"/>
            <w:tcBorders>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b/>
                <w:bCs/>
                <w:color w:val="000000"/>
                <w:sz w:val="28"/>
                <w:szCs w:val="28"/>
              </w:rPr>
            </w:pPr>
          </w:p>
        </w:tc>
        <w:tc>
          <w:tcPr>
            <w:tcW w:w="280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b/>
                <w:bCs/>
                <w:color w:val="000000"/>
                <w:sz w:val="28"/>
                <w:szCs w:val="28"/>
              </w:rPr>
            </w:pPr>
            <w:r>
              <w:rPr>
                <w:rFonts w:hint="eastAsia" w:ascii="等线" w:hAnsi="等线" w:eastAsia="等线" w:cs="宋体"/>
                <w:b/>
                <w:bCs/>
                <w:color w:val="000000"/>
                <w:sz w:val="28"/>
                <w:szCs w:val="28"/>
              </w:rPr>
              <w:t>渝北校区</w:t>
            </w:r>
          </w:p>
        </w:tc>
        <w:tc>
          <w:tcPr>
            <w:tcW w:w="2977"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b/>
                <w:bCs/>
                <w:color w:val="000000"/>
                <w:sz w:val="28"/>
                <w:szCs w:val="28"/>
              </w:rPr>
            </w:pPr>
            <w:r>
              <w:rPr>
                <w:rFonts w:hint="eastAsia" w:ascii="等线" w:hAnsi="等线" w:eastAsia="等线" w:cs="宋体"/>
                <w:b/>
                <w:bCs/>
                <w:color w:val="000000"/>
                <w:sz w:val="28"/>
                <w:szCs w:val="28"/>
              </w:rPr>
              <w:t>綦江校区</w:t>
            </w:r>
          </w:p>
        </w:tc>
      </w:tr>
      <w:tr>
        <w:tblPrEx>
          <w:tblCellMar>
            <w:top w:w="0" w:type="dxa"/>
            <w:left w:w="108" w:type="dxa"/>
            <w:bottom w:w="0" w:type="dxa"/>
            <w:right w:w="108" w:type="dxa"/>
          </w:tblCellMar>
        </w:tblPrEx>
        <w:trPr>
          <w:trHeight w:val="294" w:hRule="atLeast"/>
        </w:trPr>
        <w:tc>
          <w:tcPr>
            <w:tcW w:w="353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r>
              <w:rPr>
                <w:rFonts w:hint="eastAsia" w:ascii="等线" w:hAnsi="等线" w:eastAsia="等线" w:cs="宋体"/>
                <w:color w:val="000000"/>
                <w:sz w:val="28"/>
                <w:szCs w:val="28"/>
              </w:rPr>
              <w:t>重庆西站</w:t>
            </w:r>
          </w:p>
        </w:tc>
        <w:tc>
          <w:tcPr>
            <w:tcW w:w="28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c>
          <w:tcPr>
            <w:tcW w:w="297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294" w:hRule="atLeast"/>
        </w:trPr>
        <w:tc>
          <w:tcPr>
            <w:tcW w:w="353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r>
              <w:rPr>
                <w:rFonts w:hint="eastAsia" w:ascii="等线" w:hAnsi="等线" w:eastAsia="等线" w:cs="宋体"/>
                <w:color w:val="000000"/>
                <w:sz w:val="28"/>
                <w:szCs w:val="28"/>
              </w:rPr>
              <w:t>重庆北站北广场</w:t>
            </w:r>
          </w:p>
        </w:tc>
        <w:tc>
          <w:tcPr>
            <w:tcW w:w="28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c>
          <w:tcPr>
            <w:tcW w:w="297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294" w:hRule="atLeast"/>
        </w:trPr>
        <w:tc>
          <w:tcPr>
            <w:tcW w:w="353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r>
              <w:rPr>
                <w:rFonts w:hint="eastAsia" w:ascii="等线" w:hAnsi="等线" w:eastAsia="等线" w:cs="宋体"/>
                <w:color w:val="000000"/>
                <w:sz w:val="28"/>
                <w:szCs w:val="28"/>
              </w:rPr>
              <w:t>重庆菜园坝火车站</w:t>
            </w:r>
          </w:p>
        </w:tc>
        <w:tc>
          <w:tcPr>
            <w:tcW w:w="28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c>
          <w:tcPr>
            <w:tcW w:w="297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294" w:hRule="atLeast"/>
        </w:trPr>
        <w:tc>
          <w:tcPr>
            <w:tcW w:w="353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r>
              <w:rPr>
                <w:rFonts w:hint="eastAsia" w:ascii="等线" w:hAnsi="等线" w:eastAsia="等线" w:cs="宋体"/>
                <w:color w:val="000000"/>
                <w:sz w:val="28"/>
                <w:szCs w:val="28"/>
              </w:rPr>
              <w:t>重庆江北国际机场</w:t>
            </w:r>
          </w:p>
        </w:tc>
        <w:tc>
          <w:tcPr>
            <w:tcW w:w="28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c>
          <w:tcPr>
            <w:tcW w:w="297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294" w:hRule="atLeast"/>
        </w:trPr>
        <w:tc>
          <w:tcPr>
            <w:tcW w:w="353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r>
              <w:rPr>
                <w:rFonts w:hint="eastAsia" w:ascii="等线" w:hAnsi="等线" w:eastAsia="等线" w:cs="宋体"/>
                <w:color w:val="000000"/>
                <w:sz w:val="28"/>
                <w:szCs w:val="28"/>
              </w:rPr>
              <w:t>綦江区汽车站</w:t>
            </w:r>
          </w:p>
        </w:tc>
        <w:tc>
          <w:tcPr>
            <w:tcW w:w="2801" w:type="dxa"/>
            <w:tcBorders>
              <w:top w:val="single" w:color="auto" w:sz="4" w:space="0"/>
              <w:left w:val="nil"/>
              <w:bottom w:val="single" w:color="auto" w:sz="4" w:space="0"/>
              <w:right w:val="single" w:color="auto" w:sz="4" w:space="0"/>
              <w:tl2br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c>
          <w:tcPr>
            <w:tcW w:w="297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294" w:hRule="atLeast"/>
        </w:trPr>
        <w:tc>
          <w:tcPr>
            <w:tcW w:w="353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r>
              <w:rPr>
                <w:rFonts w:hint="eastAsia" w:ascii="等线" w:hAnsi="等线" w:eastAsia="等线" w:cs="宋体"/>
                <w:color w:val="000000"/>
                <w:sz w:val="28"/>
                <w:szCs w:val="28"/>
              </w:rPr>
              <w:t>綦江区高铁站</w:t>
            </w:r>
          </w:p>
        </w:tc>
        <w:tc>
          <w:tcPr>
            <w:tcW w:w="2801" w:type="dxa"/>
            <w:tcBorders>
              <w:top w:val="single" w:color="auto" w:sz="4" w:space="0"/>
              <w:left w:val="nil"/>
              <w:bottom w:val="single" w:color="auto" w:sz="4" w:space="0"/>
              <w:right w:val="single" w:color="auto" w:sz="4" w:space="0"/>
              <w:tl2br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c>
          <w:tcPr>
            <w:tcW w:w="297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z w:val="28"/>
                <w:szCs w:val="28"/>
              </w:rPr>
            </w:pPr>
          </w:p>
        </w:tc>
      </w:tr>
    </w:tbl>
    <w:p>
      <w:pPr>
        <w:spacing w:after="0" w:line="400" w:lineRule="exact"/>
        <w:rPr>
          <w:rFonts w:ascii="仿宋" w:hAnsi="仿宋" w:eastAsia="仿宋"/>
          <w:b/>
          <w:color w:val="000000" w:themeColor="text1"/>
          <w:sz w:val="28"/>
          <w:szCs w:val="28"/>
          <w14:textFill>
            <w14:solidFill>
              <w14:schemeClr w14:val="tx1"/>
            </w14:solidFill>
          </w14:textFill>
        </w:rPr>
      </w:pPr>
    </w:p>
    <w:tbl>
      <w:tblPr>
        <w:tblStyle w:val="26"/>
        <w:tblpPr w:leftFromText="180" w:rightFromText="180" w:vertAnchor="page" w:horzAnchor="page" w:tblpX="12233" w:tblpY="8691"/>
        <w:tblOverlap w:val="never"/>
        <w:tblW w:w="2373" w:type="dxa"/>
        <w:tblInd w:w="0" w:type="dxa"/>
        <w:tblLayout w:type="autofit"/>
        <w:tblCellMar>
          <w:top w:w="0" w:type="dxa"/>
          <w:left w:w="108" w:type="dxa"/>
          <w:bottom w:w="0" w:type="dxa"/>
          <w:right w:w="108" w:type="dxa"/>
        </w:tblCellMar>
      </w:tblPr>
      <w:tblGrid>
        <w:gridCol w:w="2373"/>
      </w:tblGrid>
      <w:tr>
        <w:tblPrEx>
          <w:tblCellMar>
            <w:top w:w="0" w:type="dxa"/>
            <w:left w:w="108" w:type="dxa"/>
            <w:bottom w:w="0" w:type="dxa"/>
            <w:right w:w="108" w:type="dxa"/>
          </w:tblCellMar>
        </w:tblPrEx>
        <w:trPr>
          <w:trHeight w:val="298" w:hRule="atLeast"/>
        </w:trPr>
        <w:tc>
          <w:tcPr>
            <w:tcW w:w="2373" w:type="dxa"/>
            <w:tcBorders>
              <w:top w:val="nil"/>
              <w:left w:val="nil"/>
              <w:bottom w:val="nil"/>
              <w:right w:val="nil"/>
            </w:tcBorders>
            <w:shd w:val="clear" w:color="auto" w:fill="auto"/>
            <w:noWrap/>
            <w:vAlign w:val="bottom"/>
          </w:tcPr>
          <w:p>
            <w:pPr>
              <w:spacing w:after="0" w:line="240" w:lineRule="exact"/>
              <w:jc w:val="left"/>
              <w:rPr>
                <w:rFonts w:ascii="仿宋" w:hAnsi="仿宋" w:eastAsia="仿宋" w:cs="宋体"/>
                <w:color w:val="000000"/>
                <w:sz w:val="20"/>
                <w:szCs w:val="20"/>
              </w:rPr>
            </w:pPr>
            <w:r>
              <w:rPr>
                <w:rFonts w:hint="eastAsia" w:ascii="仿宋" w:hAnsi="仿宋" w:eastAsia="仿宋" w:cs="宋体"/>
                <w:color w:val="000000"/>
                <w:sz w:val="20"/>
                <w:szCs w:val="20"/>
              </w:rPr>
              <w:t>报价单位（公章）：</w:t>
            </w:r>
          </w:p>
        </w:tc>
      </w:tr>
      <w:tr>
        <w:tblPrEx>
          <w:tblCellMar>
            <w:top w:w="0" w:type="dxa"/>
            <w:left w:w="108" w:type="dxa"/>
            <w:bottom w:w="0" w:type="dxa"/>
            <w:right w:w="108" w:type="dxa"/>
          </w:tblCellMar>
        </w:tblPrEx>
        <w:trPr>
          <w:trHeight w:val="298" w:hRule="atLeast"/>
        </w:trPr>
        <w:tc>
          <w:tcPr>
            <w:tcW w:w="2373" w:type="dxa"/>
            <w:tcBorders>
              <w:top w:val="nil"/>
              <w:left w:val="nil"/>
              <w:bottom w:val="nil"/>
              <w:right w:val="nil"/>
            </w:tcBorders>
            <w:shd w:val="clear" w:color="auto" w:fill="auto"/>
            <w:noWrap/>
            <w:vAlign w:val="bottom"/>
          </w:tcPr>
          <w:p>
            <w:pPr>
              <w:spacing w:after="0" w:line="240" w:lineRule="exact"/>
              <w:jc w:val="left"/>
              <w:rPr>
                <w:rFonts w:ascii="仿宋" w:hAnsi="仿宋" w:eastAsia="仿宋" w:cs="宋体"/>
                <w:color w:val="000000"/>
                <w:sz w:val="20"/>
                <w:szCs w:val="20"/>
              </w:rPr>
            </w:pPr>
            <w:r>
              <w:rPr>
                <w:rFonts w:hint="eastAsia" w:ascii="仿宋" w:hAnsi="仿宋" w:eastAsia="仿宋" w:cs="宋体"/>
                <w:color w:val="000000"/>
                <w:spacing w:val="122"/>
                <w:kern w:val="0"/>
                <w:sz w:val="20"/>
                <w:szCs w:val="20"/>
                <w:fitText w:val="1980" w:id="1076759406"/>
              </w:rPr>
              <w:t>报价时间</w:t>
            </w:r>
            <w:r>
              <w:rPr>
                <w:rFonts w:hint="eastAsia" w:ascii="仿宋" w:hAnsi="仿宋" w:eastAsia="仿宋" w:cs="宋体"/>
                <w:color w:val="000000"/>
                <w:spacing w:val="2"/>
                <w:kern w:val="0"/>
                <w:sz w:val="20"/>
                <w:szCs w:val="20"/>
                <w:fitText w:val="1980" w:id="1076759406"/>
              </w:rPr>
              <w:t>：</w:t>
            </w:r>
          </w:p>
        </w:tc>
      </w:tr>
      <w:tr>
        <w:tblPrEx>
          <w:tblCellMar>
            <w:top w:w="0" w:type="dxa"/>
            <w:left w:w="108" w:type="dxa"/>
            <w:bottom w:w="0" w:type="dxa"/>
            <w:right w:w="108" w:type="dxa"/>
          </w:tblCellMar>
        </w:tblPrEx>
        <w:trPr>
          <w:trHeight w:val="298" w:hRule="atLeast"/>
        </w:trPr>
        <w:tc>
          <w:tcPr>
            <w:tcW w:w="2373" w:type="dxa"/>
            <w:tcBorders>
              <w:top w:val="nil"/>
              <w:left w:val="nil"/>
              <w:bottom w:val="nil"/>
              <w:right w:val="nil"/>
            </w:tcBorders>
            <w:shd w:val="clear" w:color="auto" w:fill="auto"/>
            <w:noWrap/>
            <w:vAlign w:val="bottom"/>
          </w:tcPr>
          <w:p>
            <w:pPr>
              <w:spacing w:after="0" w:line="240" w:lineRule="exact"/>
              <w:jc w:val="left"/>
              <w:rPr>
                <w:rFonts w:ascii="仿宋" w:hAnsi="仿宋" w:eastAsia="仿宋" w:cs="宋体"/>
                <w:color w:val="000000"/>
                <w:sz w:val="20"/>
                <w:szCs w:val="20"/>
              </w:rPr>
            </w:pPr>
            <w:r>
              <w:rPr>
                <w:rFonts w:hint="eastAsia" w:ascii="仿宋" w:hAnsi="仿宋" w:eastAsia="仿宋" w:cs="宋体"/>
                <w:color w:val="000000"/>
                <w:spacing w:val="196"/>
                <w:kern w:val="0"/>
                <w:sz w:val="20"/>
                <w:szCs w:val="20"/>
                <w:fitText w:val="1980" w:id="1001335045"/>
              </w:rPr>
              <w:t>联系人</w:t>
            </w:r>
            <w:r>
              <w:rPr>
                <w:rFonts w:hint="eastAsia" w:ascii="仿宋" w:hAnsi="仿宋" w:eastAsia="仿宋" w:cs="宋体"/>
                <w:color w:val="000000"/>
                <w:spacing w:val="2"/>
                <w:kern w:val="0"/>
                <w:sz w:val="20"/>
                <w:szCs w:val="20"/>
                <w:fitText w:val="1980" w:id="1001335045"/>
              </w:rPr>
              <w:t>：</w:t>
            </w:r>
          </w:p>
        </w:tc>
      </w:tr>
      <w:tr>
        <w:tblPrEx>
          <w:tblCellMar>
            <w:top w:w="0" w:type="dxa"/>
            <w:left w:w="108" w:type="dxa"/>
            <w:bottom w:w="0" w:type="dxa"/>
            <w:right w:w="108" w:type="dxa"/>
          </w:tblCellMar>
        </w:tblPrEx>
        <w:trPr>
          <w:trHeight w:val="298" w:hRule="atLeast"/>
        </w:trPr>
        <w:tc>
          <w:tcPr>
            <w:tcW w:w="2373" w:type="dxa"/>
            <w:tcBorders>
              <w:top w:val="nil"/>
              <w:left w:val="nil"/>
              <w:bottom w:val="nil"/>
              <w:right w:val="nil"/>
            </w:tcBorders>
            <w:shd w:val="clear" w:color="auto" w:fill="auto"/>
            <w:noWrap/>
            <w:vAlign w:val="bottom"/>
          </w:tcPr>
          <w:p>
            <w:pPr>
              <w:spacing w:after="0" w:line="240" w:lineRule="exact"/>
              <w:jc w:val="left"/>
              <w:rPr>
                <w:rFonts w:ascii="仿宋" w:hAnsi="仿宋" w:eastAsia="仿宋" w:cs="宋体"/>
                <w:color w:val="000000"/>
                <w:sz w:val="20"/>
                <w:szCs w:val="20"/>
              </w:rPr>
            </w:pPr>
            <w:r>
              <w:rPr>
                <w:rFonts w:hint="eastAsia" w:ascii="仿宋" w:hAnsi="仿宋" w:eastAsia="仿宋" w:cs="宋体"/>
                <w:color w:val="000000"/>
                <w:spacing w:val="122"/>
                <w:kern w:val="0"/>
                <w:sz w:val="20"/>
                <w:szCs w:val="20"/>
                <w:fitText w:val="1980" w:id="736376021"/>
              </w:rPr>
              <w:t>联系电话</w:t>
            </w:r>
            <w:r>
              <w:rPr>
                <w:rFonts w:hint="eastAsia" w:ascii="仿宋" w:hAnsi="仿宋" w:eastAsia="仿宋" w:cs="宋体"/>
                <w:color w:val="000000"/>
                <w:spacing w:val="2"/>
                <w:kern w:val="0"/>
                <w:sz w:val="20"/>
                <w:szCs w:val="20"/>
                <w:fitText w:val="1980" w:id="736376021"/>
              </w:rPr>
              <w:t>：</w:t>
            </w:r>
          </w:p>
        </w:tc>
      </w:tr>
    </w:tbl>
    <w:p>
      <w:pPr>
        <w:tabs>
          <w:tab w:val="left" w:pos="8762"/>
          <w:tab w:val="left" w:pos="9356"/>
          <w:tab w:val="left" w:pos="10138"/>
          <w:tab w:val="left" w:pos="10993"/>
          <w:tab w:val="left" w:pos="11702"/>
          <w:tab w:val="left" w:pos="12411"/>
          <w:tab w:val="left" w:pos="13261"/>
          <w:tab w:val="left" w:pos="14112"/>
        </w:tabs>
        <w:spacing w:after="0" w:line="240" w:lineRule="auto"/>
        <w:ind w:right="-141" w:rightChars="-64"/>
        <w:jc w:val="left"/>
        <w:rPr>
          <w:rFonts w:ascii="仿宋" w:hAnsi="仿宋" w:eastAsia="仿宋"/>
          <w:sz w:val="28"/>
          <w:szCs w:val="28"/>
        </w:rPr>
      </w:pPr>
      <w:r>
        <w:rPr>
          <w:rFonts w:ascii="仿宋" w:hAnsi="仿宋" w:eastAsia="仿宋"/>
          <w:sz w:val="28"/>
          <w:szCs w:val="28"/>
        </w:rPr>
        <w:t>注：1.</w:t>
      </w:r>
      <w:r>
        <w:rPr>
          <w:rFonts w:hint="eastAsia" w:ascii="仿宋" w:hAnsi="仿宋" w:eastAsia="仿宋"/>
          <w:sz w:val="28"/>
          <w:szCs w:val="28"/>
        </w:rPr>
        <w:t>学校迎新站点为本项目车辆服务起点，终点分别为渝北、綦江两校区；</w:t>
      </w:r>
    </w:p>
    <w:p>
      <w:pPr>
        <w:tabs>
          <w:tab w:val="left" w:pos="8762"/>
          <w:tab w:val="left" w:pos="9450"/>
          <w:tab w:val="left" w:pos="10138"/>
          <w:tab w:val="left" w:pos="10993"/>
          <w:tab w:val="left" w:pos="11702"/>
          <w:tab w:val="left" w:pos="12411"/>
          <w:tab w:val="left" w:pos="13261"/>
          <w:tab w:val="left" w:pos="14112"/>
        </w:tabs>
        <w:spacing w:after="0" w:line="240" w:lineRule="auto"/>
        <w:ind w:left="850" w:leftChars="258" w:hanging="282"/>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此公开询价表采用从起点至渝北、綦江两校区往返均按照每人次填报乘车单价。</w:t>
      </w:r>
    </w:p>
    <w:p>
      <w:pPr>
        <w:pStyle w:val="17"/>
        <w:spacing w:line="500" w:lineRule="exact"/>
        <w:ind w:firstLine="560" w:firstLineChars="200"/>
        <w:rPr>
          <w:rFonts w:ascii="仿宋" w:hAnsi="仿宋" w:eastAsia="仿宋"/>
          <w:color w:val="000000"/>
          <w:sz w:val="28"/>
        </w:rPr>
      </w:pPr>
      <w:r>
        <w:rPr>
          <w:rFonts w:ascii="仿宋" w:hAnsi="仿宋" w:eastAsia="仿宋"/>
          <w:sz w:val="28"/>
          <w:szCs w:val="28"/>
        </w:rPr>
        <w:t>3.</w:t>
      </w:r>
      <w:r>
        <w:rPr>
          <w:rFonts w:hint="eastAsia" w:ascii="仿宋" w:hAnsi="仿宋" w:eastAsia="仿宋"/>
          <w:sz w:val="28"/>
          <w:szCs w:val="28"/>
        </w:rPr>
        <w:t>此报价表采用全费用</w:t>
      </w:r>
      <w:r>
        <w:rPr>
          <w:rFonts w:hint="eastAsia" w:ascii="仿宋" w:hAnsi="仿宋" w:eastAsia="仿宋"/>
          <w:sz w:val="28"/>
          <w:szCs w:val="28"/>
          <w:lang w:val="en-US" w:eastAsia="zh-CN"/>
        </w:rPr>
        <w:t>综合</w:t>
      </w:r>
      <w:r>
        <w:rPr>
          <w:rFonts w:hint="eastAsia" w:ascii="仿宋" w:hAnsi="仿宋" w:eastAsia="仿宋"/>
          <w:sz w:val="28"/>
          <w:szCs w:val="28"/>
        </w:rPr>
        <w:t>单价包干结算。</w:t>
      </w:r>
    </w:p>
    <w:p>
      <w:pPr>
        <w:pStyle w:val="2"/>
      </w:pPr>
    </w:p>
    <w:p>
      <w:pPr>
        <w:spacing w:after="0" w:line="380" w:lineRule="exact"/>
        <w:jc w:val="both"/>
        <w:rPr>
          <w:rFonts w:ascii="仿宋" w:hAnsi="仿宋" w:eastAsia="仿宋"/>
          <w:sz w:val="28"/>
          <w:szCs w:val="28"/>
          <w:u w:val="single"/>
        </w:rPr>
      </w:pPr>
      <w:r>
        <w:rPr>
          <w:rFonts w:hint="eastAsia" w:ascii="仿宋" w:hAnsi="仿宋" w:eastAsia="仿宋"/>
          <w:sz w:val="28"/>
          <w:szCs w:val="28"/>
          <w:lang w:val="en-US" w:eastAsia="zh-CN"/>
        </w:rPr>
        <w:t xml:space="preserve">                                    </w:t>
      </w:r>
      <w:r>
        <w:rPr>
          <w:rFonts w:ascii="仿宋" w:hAnsi="仿宋" w:eastAsia="仿宋"/>
          <w:sz w:val="28"/>
          <w:szCs w:val="28"/>
          <w:lang w:val="zh-CN"/>
        </w:rPr>
        <w:t>参与人代表签字：</w:t>
      </w:r>
      <w:r>
        <w:rPr>
          <w:rFonts w:ascii="仿宋" w:hAnsi="仿宋" w:eastAsia="仿宋"/>
          <w:sz w:val="28"/>
          <w:szCs w:val="28"/>
          <w:u w:val="single"/>
        </w:rPr>
        <w:t xml:space="preserve">             </w:t>
      </w:r>
    </w:p>
    <w:p>
      <w:pPr>
        <w:spacing w:after="0" w:line="380" w:lineRule="exact"/>
        <w:jc w:val="right"/>
        <w:rPr>
          <w:rFonts w:hint="eastAsia" w:ascii="仿宋" w:hAnsi="仿宋" w:eastAsia="仿宋"/>
          <w:sz w:val="28"/>
          <w:szCs w:val="28"/>
          <w:lang w:val="en-US" w:eastAsia="zh-CN"/>
        </w:rPr>
      </w:pPr>
    </w:p>
    <w:p>
      <w:pPr>
        <w:spacing w:after="0" w:line="380" w:lineRule="exact"/>
        <w:jc w:val="righ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sz w:val="28"/>
          <w:szCs w:val="28"/>
          <w:lang w:val="en-US" w:eastAsia="zh-CN"/>
        </w:rPr>
        <w:t>报价时间：      年     月    日</w:t>
      </w:r>
    </w:p>
    <w:p>
      <w:pPr>
        <w:spacing w:after="0" w:line="240" w:lineRule="auto"/>
        <w:jc w:val="left"/>
        <w:rPr>
          <w:rFonts w:ascii="仿宋" w:hAnsi="仿宋" w:eastAsia="仿宋"/>
          <w:b/>
          <w:bCs/>
          <w:color w:val="000000" w:themeColor="text1"/>
          <w:sz w:val="28"/>
          <w:szCs w:val="28"/>
          <w14:textFill>
            <w14:solidFill>
              <w14:schemeClr w14:val="tx1"/>
            </w14:solidFill>
          </w14:textFill>
        </w:rPr>
        <w:sectPr>
          <w:pgSz w:w="11906" w:h="16838"/>
          <w:pgMar w:top="1440" w:right="1417" w:bottom="1440" w:left="1134" w:header="851" w:footer="992" w:gutter="0"/>
          <w:cols w:space="0" w:num="1"/>
          <w:titlePg/>
          <w:docGrid w:type="lines" w:linePitch="322" w:charSpace="0"/>
        </w:sectPr>
      </w:pPr>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3</w:t>
      </w:r>
      <w:r>
        <w:rPr>
          <w:rFonts w:hint="eastAsia" w:ascii="仿宋" w:hAnsi="仿宋" w:eastAsia="仿宋"/>
          <w:b/>
          <w:bCs/>
          <w:color w:val="000000" w:themeColor="text1"/>
          <w:sz w:val="28"/>
          <w:szCs w:val="28"/>
          <w14:textFill>
            <w14:solidFill>
              <w14:schemeClr w14:val="tx1"/>
            </w14:solidFill>
          </w14:textFill>
        </w:rPr>
        <w:t>、参与人的资格证明文件</w:t>
      </w:r>
    </w:p>
    <w:p>
      <w:pPr>
        <w:pStyle w:val="63"/>
        <w:rPr>
          <w:rFonts w:ascii="仿宋" w:hAnsi="仿宋" w:eastAsia="仿宋"/>
          <w:color w:val="000000" w:themeColor="text1"/>
          <w:szCs w:val="28"/>
          <w14:textFill>
            <w14:solidFill>
              <w14:schemeClr w14:val="tx1"/>
            </w14:solidFill>
          </w14:textFill>
        </w:rPr>
      </w:pPr>
    </w:p>
    <w:p>
      <w:pPr>
        <w:spacing w:line="380" w:lineRule="exact"/>
        <w:jc w:val="center"/>
        <w:outlineLvl w:val="2"/>
        <w:rPr>
          <w:rFonts w:ascii="仿宋" w:hAnsi="仿宋" w:eastAsia="仿宋"/>
          <w:b/>
          <w:color w:val="000000" w:themeColor="text1"/>
          <w:sz w:val="28"/>
          <w:szCs w:val="28"/>
          <w14:textFill>
            <w14:solidFill>
              <w14:schemeClr w14:val="tx1"/>
            </w14:solidFill>
          </w14:textFill>
        </w:rPr>
      </w:pPr>
      <w:bookmarkStart w:id="146" w:name="_Toc266870442"/>
      <w:bookmarkStart w:id="147" w:name="_Toc267060462"/>
      <w:bookmarkStart w:id="148" w:name="_Toc259692657"/>
      <w:bookmarkStart w:id="149" w:name="_Toc232302123"/>
      <w:bookmarkStart w:id="150" w:name="_Toc251613840"/>
      <w:bookmarkStart w:id="151" w:name="_Toc235438353"/>
      <w:bookmarkStart w:id="152" w:name="_Toc254790910"/>
      <w:bookmarkStart w:id="153" w:name="_Toc236021458"/>
      <w:bookmarkStart w:id="154" w:name="_Toc267060077"/>
      <w:bookmarkStart w:id="155" w:name="_Toc227058537"/>
      <w:bookmarkStart w:id="156" w:name="_Toc235438282"/>
      <w:bookmarkStart w:id="157" w:name="_Toc258401266"/>
      <w:bookmarkStart w:id="158" w:name="_Toc217891409"/>
      <w:bookmarkStart w:id="159" w:name="_Toc235437999"/>
      <w:bookmarkStart w:id="160" w:name="_Toc230071154"/>
      <w:bookmarkStart w:id="161" w:name="_Toc253066625"/>
      <w:bookmarkStart w:id="162" w:name="_Toc267060217"/>
      <w:bookmarkStart w:id="163" w:name="_Toc259520875"/>
      <w:bookmarkStart w:id="164" w:name="_Toc259692750"/>
      <w:bookmarkStart w:id="165" w:name="_Toc213756058"/>
      <w:bookmarkStart w:id="166" w:name="_Toc225669329"/>
      <w:bookmarkStart w:id="167" w:name="_Toc251586242"/>
      <w:bookmarkStart w:id="168" w:name="_Toc219800250"/>
      <w:bookmarkStart w:id="169" w:name="_Toc249325721"/>
      <w:bookmarkStart w:id="170" w:name="_Toc255975017"/>
      <w:bookmarkStart w:id="171" w:name="_Toc266868680"/>
      <w:bookmarkStart w:id="172" w:name="_Toc266870917"/>
      <w:bookmarkStart w:id="173" w:name="_Toc223146615"/>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-1关于资格的声明函</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hint="eastAsia" w:ascii="仿宋" w:hAnsi="仿宋" w:eastAsia="仿宋"/>
          <w:b/>
          <w:color w:val="000000" w:themeColor="text1"/>
          <w:sz w:val="28"/>
          <w:szCs w:val="28"/>
          <w14:textFill>
            <w14:solidFill>
              <w14:schemeClr w14:val="tx1"/>
            </w14:solidFill>
          </w14:textFill>
        </w:rPr>
        <w:cr/>
      </w:r>
    </w:p>
    <w:p>
      <w:pPr>
        <w:spacing w:after="0" w:line="500" w:lineRule="exact"/>
        <w:rPr>
          <w:rFonts w:ascii="仿宋" w:hAnsi="仿宋" w:eastAsia="仿宋"/>
          <w:color w:val="000000" w:themeColor="text1"/>
          <w:sz w:val="28"/>
          <w:szCs w:val="28"/>
          <w14:textFill>
            <w14:solidFill>
              <w14:schemeClr w14:val="tx1"/>
            </w14:solidFill>
          </w14:textFill>
        </w:rPr>
      </w:pPr>
      <w:bookmarkStart w:id="174" w:name="_Hlk511663739"/>
      <w:r>
        <w:rPr>
          <w:rFonts w:hint="eastAsia" w:ascii="仿宋" w:hAnsi="仿宋" w:eastAsia="仿宋"/>
          <w:color w:val="000000" w:themeColor="text1"/>
          <w:sz w:val="28"/>
          <w:szCs w:val="28"/>
          <w14:textFill>
            <w14:solidFill>
              <w14:schemeClr w14:val="tx1"/>
            </w14:solidFill>
          </w14:textFill>
        </w:rPr>
        <w:t>重庆外语外事学院：</w:t>
      </w:r>
      <w:bookmarkEnd w:id="174"/>
    </w:p>
    <w:p>
      <w:pPr>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关于贵方xxxx年xx月xx日 （）公开询价邀请，本签字人愿意参加本次报价，提供公开询价文件中规定的货物，并证明提交的下列文件和说明是准确的和真实的。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2．我方的资格声明正本1份，副本1份，随报价响应文件一同递交。</w:t>
      </w: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w:t>
      </w:r>
      <w:r>
        <w:rPr>
          <w:rFonts w:hint="eastAsia" w:ascii="仿宋" w:hAnsi="仿宋" w:eastAsia="仿宋"/>
          <w:color w:val="000000" w:themeColor="text1"/>
          <w:sz w:val="28"/>
          <w:szCs w:val="28"/>
          <w:lang w:val="zh-CN"/>
          <w14:textFill>
            <w14:solidFill>
              <w14:schemeClr w14:val="tx1"/>
            </w14:solidFill>
          </w14:textFill>
        </w:rPr>
        <w:t>公司全称并加盖公章</w:t>
      </w:r>
      <w:r>
        <w:rPr>
          <w:rFonts w:hint="eastAsia" w:ascii="仿宋" w:hAnsi="仿宋" w:eastAsia="仿宋"/>
          <w:color w:val="000000" w:themeColor="text1"/>
          <w:sz w:val="28"/>
          <w:szCs w:val="28"/>
          <w14:textFill>
            <w14:solidFill>
              <w14:schemeClr w14:val="tx1"/>
            </w14:solidFill>
          </w14:textFill>
        </w:rPr>
        <w:t>）：</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     编：</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电话或传真：</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参与人授权代表：</w:t>
      </w:r>
      <w:bookmarkStart w:id="175" w:name="_Toc223146616"/>
      <w:bookmarkStart w:id="176" w:name="_Toc266868681"/>
      <w:bookmarkStart w:id="177" w:name="_Toc236021459"/>
      <w:bookmarkStart w:id="178" w:name="_Toc235438354"/>
      <w:bookmarkStart w:id="179" w:name="_Toc251613841"/>
      <w:bookmarkStart w:id="180" w:name="_Toc259692751"/>
      <w:bookmarkStart w:id="181" w:name="_Toc255975018"/>
      <w:bookmarkStart w:id="182" w:name="_Toc225669330"/>
      <w:bookmarkStart w:id="183" w:name="_Toc249325722"/>
      <w:bookmarkStart w:id="184" w:name="_Toc254790911"/>
      <w:bookmarkStart w:id="185" w:name="_Toc259520876"/>
      <w:bookmarkStart w:id="186" w:name="_Toc227058538"/>
      <w:bookmarkStart w:id="187" w:name="_Toc259692658"/>
      <w:bookmarkStart w:id="188" w:name="_Toc217891410"/>
      <w:bookmarkStart w:id="189" w:name="_Toc219800251"/>
      <w:bookmarkStart w:id="190" w:name="_Toc235438283"/>
      <w:bookmarkStart w:id="191" w:name="_Toc232302124"/>
      <w:bookmarkStart w:id="192" w:name="_Toc266870918"/>
      <w:bookmarkStart w:id="193" w:name="_Toc258401267"/>
      <w:bookmarkStart w:id="194" w:name="_Toc235438000"/>
      <w:bookmarkStart w:id="195" w:name="_Toc213756059"/>
      <w:bookmarkStart w:id="196" w:name="_Toc266870443"/>
      <w:bookmarkStart w:id="197" w:name="_Toc253066626"/>
      <w:bookmarkStart w:id="198" w:name="_Toc230071155"/>
      <w:bookmarkStart w:id="199" w:name="_Toc251586243"/>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企业</w:t>
      </w:r>
      <w:r>
        <w:rPr>
          <w:rFonts w:hint="eastAsia" w:ascii="仿宋" w:hAnsi="仿宋" w:eastAsia="仿宋"/>
          <w:b/>
          <w:color w:val="000000" w:themeColor="text1"/>
          <w:sz w:val="28"/>
          <w:szCs w:val="28"/>
          <w14:textFill>
            <w14:solidFill>
              <w14:schemeClr w14:val="tx1"/>
            </w14:solidFill>
          </w14:textFill>
        </w:rPr>
        <w:t>法人营业执照（复印件并加盖公章）</w:t>
      </w:r>
    </w:p>
    <w:p>
      <w:pPr>
        <w:jc w:val="center"/>
        <w:outlineLvl w:val="1"/>
        <w:rPr>
          <w:rFonts w:ascii="仿宋" w:hAnsi="仿宋" w:eastAsia="仿宋"/>
          <w:b/>
          <w:color w:val="000000" w:themeColor="text1"/>
          <w:sz w:val="28"/>
          <w:szCs w:val="28"/>
          <w14:textFill>
            <w14:solidFill>
              <w14:schemeClr w14:val="tx1"/>
            </w14:solidFill>
          </w14:textFill>
        </w:rPr>
      </w:pPr>
    </w:p>
    <w:p>
      <w:p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重庆外语外事学院：</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现附上由（签发机关名称）签发的我方法人营业执照复印件，该执照业经年检，真实有效。</w:t>
      </w: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 与 人（全称并加盖公章）：</w:t>
      </w: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参与人授权代表</w:t>
      </w:r>
      <w:r>
        <w:rPr>
          <w:rFonts w:hint="eastAsia" w:ascii="仿宋" w:hAnsi="仿宋" w:eastAsia="仿宋"/>
          <w:color w:val="000000" w:themeColor="text1"/>
          <w:sz w:val="28"/>
          <w:szCs w:val="28"/>
          <w14:textFill>
            <w14:solidFill>
              <w14:schemeClr w14:val="tx1"/>
            </w14:solidFill>
          </w14:textFill>
        </w:rPr>
        <w:t>：</w:t>
      </w: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p>
    <w:p>
      <w:pPr>
        <w:spacing w:line="380" w:lineRule="exact"/>
        <w:jc w:val="center"/>
        <w:outlineLvl w:val="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br w:type="page"/>
      </w:r>
      <w:bookmarkStart w:id="200" w:name="_Toc266868684"/>
      <w:bookmarkStart w:id="201" w:name="_Toc235438286"/>
      <w:bookmarkStart w:id="202" w:name="_Toc181436469"/>
      <w:bookmarkStart w:id="203" w:name="_Toc266870447"/>
      <w:bookmarkStart w:id="204" w:name="_Toc182805225"/>
      <w:bookmarkStart w:id="205" w:name="_Toc267060220"/>
      <w:bookmarkStart w:id="206" w:name="_Toc251586246"/>
      <w:bookmarkStart w:id="207" w:name="_Toc232302127"/>
      <w:bookmarkStart w:id="208" w:name="_Toc251613844"/>
      <w:bookmarkStart w:id="209" w:name="_Toc192996346"/>
      <w:bookmarkStart w:id="210" w:name="_Toc236021462"/>
      <w:bookmarkStart w:id="211" w:name="_Toc267060466"/>
      <w:bookmarkStart w:id="212" w:name="_Toc267060081"/>
      <w:bookmarkStart w:id="213" w:name="_Toc266870446"/>
      <w:bookmarkStart w:id="214" w:name="_Toc259692756"/>
      <w:bookmarkStart w:id="215" w:name="_Toc259520879"/>
      <w:bookmarkStart w:id="216" w:name="_Toc192664161"/>
      <w:bookmarkStart w:id="217" w:name="_Toc160880168"/>
      <w:bookmarkStart w:id="218" w:name="_Toc254790914"/>
      <w:bookmarkStart w:id="219" w:name="_Toc181436573"/>
      <w:bookmarkStart w:id="220" w:name="_Toc266870921"/>
      <w:bookmarkStart w:id="221" w:name="_Toc191803634"/>
      <w:bookmarkStart w:id="222" w:name="_Toc160880537"/>
      <w:bookmarkStart w:id="223" w:name="_Toc177985477"/>
      <w:bookmarkStart w:id="224" w:name="_Toc266870922"/>
      <w:bookmarkStart w:id="225" w:name="_Toc255975023"/>
      <w:bookmarkStart w:id="226" w:name="_Toc259692754"/>
      <w:bookmarkStart w:id="227" w:name="_Toc180302921"/>
      <w:bookmarkStart w:id="228" w:name="_Toc259520881"/>
      <w:bookmarkStart w:id="229" w:name="_Toc211917124"/>
      <w:bookmarkStart w:id="230" w:name="_Toc235438003"/>
      <w:bookmarkStart w:id="231" w:name="_Toc259692663"/>
      <w:bookmarkStart w:id="232" w:name="_Toc249325725"/>
      <w:bookmarkStart w:id="233" w:name="_Toc182372790"/>
      <w:bookmarkStart w:id="234" w:name="_Toc191789337"/>
      <w:bookmarkStart w:id="235" w:name="_Toc255975021"/>
      <w:bookmarkStart w:id="236" w:name="_Toc192663843"/>
      <w:bookmarkStart w:id="237" w:name="_Toc258401272"/>
      <w:bookmarkStart w:id="238" w:name="_Toc253066629"/>
      <w:bookmarkStart w:id="239" w:name="_Toc193165742"/>
      <w:bookmarkStart w:id="240" w:name="_Toc192663694"/>
      <w:bookmarkStart w:id="241" w:name="_Toc259692661"/>
      <w:bookmarkStart w:id="242" w:name="_Toc203355741"/>
      <w:bookmarkStart w:id="243" w:name="_Toc193160456"/>
      <w:bookmarkStart w:id="244" w:name="_Toc169332957"/>
      <w:bookmarkStart w:id="245" w:name="_Toc258401270"/>
      <w:bookmarkStart w:id="246" w:name="_Toc170798801"/>
      <w:bookmarkStart w:id="247" w:name="_Toc235438357"/>
      <w:bookmarkStart w:id="248" w:name="_Toc267060080"/>
      <w:bookmarkStart w:id="249" w:name="_Toc191802698"/>
      <w:bookmarkStart w:id="250" w:name="_Toc169332846"/>
      <w:bookmarkStart w:id="251" w:name="_Toc267060465"/>
      <w:bookmarkStart w:id="252" w:name="_Toc267060221"/>
      <w:bookmarkStart w:id="253" w:name="_Toc192996454"/>
      <w:bookmarkStart w:id="254" w:name="_Toc254790916"/>
      <w:bookmarkStart w:id="255" w:name="_Toc266868686"/>
      <w:bookmarkStart w:id="256" w:name="_Toc191783230"/>
    </w:p>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Pr>
        <w:spacing w:after="0" w:line="480" w:lineRule="exact"/>
        <w:ind w:firstLine="570"/>
        <w:jc w:val="center"/>
        <w:rPr>
          <w:rFonts w:ascii="仿宋" w:hAnsi="仿宋" w:eastAsia="仿宋"/>
          <w:b/>
          <w:bCs/>
          <w:color w:val="000000" w:themeColor="text1"/>
          <w:sz w:val="28"/>
          <w:szCs w:val="28"/>
          <w14:textFill>
            <w14:solidFill>
              <w14:schemeClr w14:val="tx1"/>
            </w14:solidFill>
          </w14:textFill>
        </w:rPr>
      </w:pPr>
      <w:bookmarkStart w:id="257" w:name="_Toc259692664"/>
      <w:bookmarkStart w:id="258" w:name="_Toc267060467"/>
      <w:bookmarkStart w:id="259" w:name="_Toc254790917"/>
      <w:bookmarkStart w:id="260" w:name="_Toc236021463"/>
      <w:bookmarkStart w:id="261" w:name="_Toc267059036"/>
      <w:bookmarkStart w:id="262" w:name="_Toc266868687"/>
      <w:bookmarkStart w:id="263" w:name="_Toc267059187"/>
      <w:bookmarkStart w:id="264" w:name="_Toc266868944"/>
      <w:bookmarkStart w:id="265" w:name="_Toc258401273"/>
      <w:bookmarkStart w:id="266" w:name="_Toc251586247"/>
      <w:bookmarkStart w:id="267" w:name="_Toc267059812"/>
      <w:bookmarkStart w:id="268" w:name="_Toc259520882"/>
      <w:bookmarkStart w:id="269" w:name="_Toc267059545"/>
      <w:bookmarkStart w:id="270" w:name="_Toc267060082"/>
      <w:bookmarkStart w:id="271" w:name="_Toc253066630"/>
      <w:bookmarkStart w:id="272" w:name="_Toc249325726"/>
      <w:bookmarkStart w:id="273" w:name="_Toc267060327"/>
      <w:bookmarkStart w:id="274" w:name="_Toc255975024"/>
      <w:bookmarkStart w:id="275" w:name="_Toc267059925"/>
      <w:bookmarkStart w:id="276" w:name="_Toc235438287"/>
      <w:bookmarkStart w:id="277" w:name="_Toc251613845"/>
      <w:bookmarkStart w:id="278" w:name="_Toc267060222"/>
      <w:bookmarkStart w:id="279" w:name="_Toc235438358"/>
      <w:bookmarkStart w:id="280" w:name="_Toc273178704"/>
      <w:bookmarkStart w:id="281" w:name="_Toc235438004"/>
      <w:bookmarkStart w:id="282" w:name="_Toc266870923"/>
      <w:bookmarkStart w:id="283" w:name="_Toc266870840"/>
      <w:bookmarkStart w:id="284" w:name="_Toc266870448"/>
      <w:bookmarkStart w:id="285" w:name="_Toc232302128"/>
      <w:bookmarkStart w:id="286" w:name="_Toc259692757"/>
      <w:bookmarkStart w:id="287" w:name="_Toc267059659"/>
      <w:r>
        <w:rPr>
          <w:rFonts w:ascii="仿宋" w:hAnsi="仿宋" w:eastAsia="仿宋"/>
          <w:b/>
          <w:bCs/>
          <w:color w:val="000000" w:themeColor="text1"/>
          <w:sz w:val="28"/>
          <w:szCs w:val="28"/>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质保和后期服务承诺书</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rPr>
          <w:rFonts w:ascii="仿宋" w:hAnsi="仿宋" w:eastAsia="仿宋"/>
          <w:b/>
          <w:color w:val="000000" w:themeColor="text1"/>
          <w:sz w:val="28"/>
          <w:szCs w:val="28"/>
          <w14:textFill>
            <w14:solidFill>
              <w14:schemeClr w14:val="tx1"/>
            </w14:solidFill>
          </w14:textFill>
        </w:rPr>
      </w:pP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参与人根据公开询价文件中对售后服务的要求，结合自身实际情况进行承诺</w:t>
      </w:r>
      <w:r>
        <w:rPr>
          <w:rFonts w:ascii="仿宋" w:hAnsi="仿宋" w:eastAsia="仿宋"/>
          <w:color w:val="000000" w:themeColor="text1"/>
          <w:sz w:val="28"/>
          <w:szCs w:val="28"/>
          <w14:textFill>
            <w14:solidFill>
              <w14:schemeClr w14:val="tx1"/>
            </w14:solidFill>
          </w14:textFill>
        </w:rPr>
        <w:t>（含</w:t>
      </w:r>
      <w:r>
        <w:rPr>
          <w:rFonts w:hint="eastAsia" w:ascii="仿宋" w:hAnsi="仿宋" w:eastAsia="仿宋"/>
          <w:color w:val="000000" w:themeColor="text1"/>
          <w:sz w:val="28"/>
          <w:szCs w:val="28"/>
          <w14:textFill>
            <w14:solidFill>
              <w14:schemeClr w14:val="tx1"/>
            </w14:solidFill>
          </w14:textFill>
        </w:rPr>
        <w:t>产品质量</w:t>
      </w:r>
      <w:r>
        <w:rPr>
          <w:rFonts w:ascii="仿宋" w:hAnsi="仿宋" w:eastAsia="仿宋"/>
          <w:color w:val="000000" w:themeColor="text1"/>
          <w:sz w:val="28"/>
          <w:szCs w:val="28"/>
          <w14:textFill>
            <w14:solidFill>
              <w14:schemeClr w14:val="tx1"/>
            </w14:solidFill>
          </w14:textFill>
        </w:rPr>
        <w:t>保障体系等）、交货</w:t>
      </w:r>
      <w:r>
        <w:rPr>
          <w:rFonts w:hint="eastAsia" w:ascii="仿宋" w:hAnsi="仿宋" w:eastAsia="仿宋"/>
          <w:color w:val="000000" w:themeColor="text1"/>
          <w:sz w:val="28"/>
          <w:szCs w:val="28"/>
          <w14:textFill>
            <w14:solidFill>
              <w14:schemeClr w14:val="tx1"/>
            </w14:solidFill>
          </w14:textFill>
        </w:rPr>
        <w:t>周</w:t>
      </w:r>
      <w:r>
        <w:rPr>
          <w:rFonts w:ascii="仿宋" w:hAnsi="仿宋" w:eastAsia="仿宋"/>
          <w:color w:val="000000" w:themeColor="text1"/>
          <w:sz w:val="28"/>
          <w:szCs w:val="28"/>
          <w14:textFill>
            <w14:solidFill>
              <w14:schemeClr w14:val="tx1"/>
            </w14:solidFill>
          </w14:textFill>
        </w:rPr>
        <w:t>期承诺等</w:t>
      </w:r>
      <w:r>
        <w:rPr>
          <w:rFonts w:hint="eastAsia" w:ascii="仿宋" w:hAnsi="仿宋" w:eastAsia="仿宋"/>
          <w:color w:val="000000" w:themeColor="text1"/>
          <w:sz w:val="28"/>
          <w:szCs w:val="28"/>
          <w14:textFill>
            <w14:solidFill>
              <w14:schemeClr w14:val="tx1"/>
            </w14:solidFill>
          </w14:textFill>
        </w:rPr>
        <w:t>。</w:t>
      </w:r>
    </w:p>
    <w:p>
      <w:pPr>
        <w:spacing w:line="500" w:lineRule="exact"/>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承诺如下：</w:t>
      </w:r>
    </w:p>
    <w:p>
      <w:pPr>
        <w:spacing w:line="420" w:lineRule="exact"/>
        <w:ind w:firstLine="480"/>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ind w:firstLine="3640" w:firstLineChars="1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 与 人（</w:t>
      </w:r>
      <w:r>
        <w:rPr>
          <w:rFonts w:hint="eastAsia" w:ascii="仿宋" w:hAnsi="仿宋" w:eastAsia="仿宋"/>
          <w:color w:val="000000" w:themeColor="text1"/>
          <w:sz w:val="28"/>
          <w:szCs w:val="28"/>
          <w:lang w:val="zh-CN"/>
          <w14:textFill>
            <w14:solidFill>
              <w14:schemeClr w14:val="tx1"/>
            </w14:solidFill>
          </w14:textFill>
        </w:rPr>
        <w:t>公司全称并加盖公章</w:t>
      </w:r>
      <w:r>
        <w:rPr>
          <w:rFonts w:hint="eastAsia" w:ascii="仿宋" w:hAnsi="仿宋" w:eastAsia="仿宋"/>
          <w:color w:val="000000" w:themeColor="text1"/>
          <w:sz w:val="28"/>
          <w:szCs w:val="28"/>
          <w14:textFill>
            <w14:solidFill>
              <w14:schemeClr w14:val="tx1"/>
            </w14:solidFill>
          </w14:textFill>
        </w:rPr>
        <w:t>）：</w:t>
      </w:r>
    </w:p>
    <w:p>
      <w:pPr>
        <w:spacing w:line="380" w:lineRule="exact"/>
        <w:ind w:firstLine="5880" w:firstLineChars="2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参与人授权代表：</w:t>
      </w:r>
    </w:p>
    <w:p>
      <w:pPr>
        <w:spacing w:line="420" w:lineRule="exact"/>
        <w:ind w:firstLine="6440" w:firstLineChars="2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pPr>
        <w:spacing w:line="380" w:lineRule="exact"/>
        <w:rPr>
          <w:rFonts w:ascii="仿宋" w:hAnsi="仿宋" w:eastAsia="仿宋"/>
          <w:color w:val="000000" w:themeColor="text1"/>
          <w:sz w:val="28"/>
          <w:szCs w:val="28"/>
          <w14:textFill>
            <w14:solidFill>
              <w14:schemeClr w14:val="tx1"/>
            </w14:solidFill>
          </w14:textFill>
        </w:rPr>
      </w:pPr>
    </w:p>
    <w:sectPr>
      <w:pgSz w:w="11906" w:h="16838"/>
      <w:pgMar w:top="1440" w:right="1417" w:bottom="1440" w:left="1134" w:header="851" w:footer="992" w:gutter="0"/>
      <w:cols w:space="0" w:num="1"/>
      <w:titlePg/>
      <w:docGrid w:type="lines" w:linePitch="32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8953241"/>
    </w:sdtPr>
    <w:sdtContent>
      <w:sdt>
        <w:sdtPr>
          <w:id w:val="-436755361"/>
        </w:sdtPr>
        <w:sdtContent>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p>
    <w:pPr>
      <w:pStyle w:val="1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1330325" cy="296545"/>
          <wp:effectExtent l="0" t="0" r="317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1330325" cy="296545"/>
          <wp:effectExtent l="0" t="0" r="317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10"/>
  <w:drawingGridVerticalSpacing w:val="16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490C"/>
    <w:rsid w:val="00037E30"/>
    <w:rsid w:val="00040261"/>
    <w:rsid w:val="00042BA5"/>
    <w:rsid w:val="000433B2"/>
    <w:rsid w:val="0004713D"/>
    <w:rsid w:val="000569E1"/>
    <w:rsid w:val="000655D9"/>
    <w:rsid w:val="00074B20"/>
    <w:rsid w:val="00077558"/>
    <w:rsid w:val="00082572"/>
    <w:rsid w:val="00082ADD"/>
    <w:rsid w:val="00083601"/>
    <w:rsid w:val="000854F7"/>
    <w:rsid w:val="000934D4"/>
    <w:rsid w:val="00096911"/>
    <w:rsid w:val="00097371"/>
    <w:rsid w:val="000A1E60"/>
    <w:rsid w:val="000C0ADC"/>
    <w:rsid w:val="000E1DD1"/>
    <w:rsid w:val="000E7F0C"/>
    <w:rsid w:val="000F4F45"/>
    <w:rsid w:val="000F66B7"/>
    <w:rsid w:val="001030C6"/>
    <w:rsid w:val="00120CC1"/>
    <w:rsid w:val="00126009"/>
    <w:rsid w:val="0013118F"/>
    <w:rsid w:val="001561E9"/>
    <w:rsid w:val="001729A2"/>
    <w:rsid w:val="00176CD4"/>
    <w:rsid w:val="00181C04"/>
    <w:rsid w:val="00182C6E"/>
    <w:rsid w:val="001901ED"/>
    <w:rsid w:val="001A2C54"/>
    <w:rsid w:val="001A5B43"/>
    <w:rsid w:val="001B719E"/>
    <w:rsid w:val="001C6943"/>
    <w:rsid w:val="001D2BB3"/>
    <w:rsid w:val="001E75D3"/>
    <w:rsid w:val="001F2393"/>
    <w:rsid w:val="00226885"/>
    <w:rsid w:val="0023028B"/>
    <w:rsid w:val="00235C32"/>
    <w:rsid w:val="00244E90"/>
    <w:rsid w:val="00245806"/>
    <w:rsid w:val="00246D51"/>
    <w:rsid w:val="0025668E"/>
    <w:rsid w:val="00257789"/>
    <w:rsid w:val="002772BB"/>
    <w:rsid w:val="00290188"/>
    <w:rsid w:val="0029068A"/>
    <w:rsid w:val="00292468"/>
    <w:rsid w:val="002B2460"/>
    <w:rsid w:val="002C2C3D"/>
    <w:rsid w:val="002C3845"/>
    <w:rsid w:val="002C4297"/>
    <w:rsid w:val="002C55EF"/>
    <w:rsid w:val="002D1F84"/>
    <w:rsid w:val="002D2852"/>
    <w:rsid w:val="002F795A"/>
    <w:rsid w:val="00317A5B"/>
    <w:rsid w:val="00326F3A"/>
    <w:rsid w:val="00333DF5"/>
    <w:rsid w:val="00334E6F"/>
    <w:rsid w:val="003359C2"/>
    <w:rsid w:val="003570A0"/>
    <w:rsid w:val="00361B92"/>
    <w:rsid w:val="00366367"/>
    <w:rsid w:val="00382D9B"/>
    <w:rsid w:val="00385087"/>
    <w:rsid w:val="00397A32"/>
    <w:rsid w:val="003B4F7D"/>
    <w:rsid w:val="003C60EF"/>
    <w:rsid w:val="003D2633"/>
    <w:rsid w:val="003E6439"/>
    <w:rsid w:val="003F20A6"/>
    <w:rsid w:val="00404FA2"/>
    <w:rsid w:val="004242F4"/>
    <w:rsid w:val="004262D6"/>
    <w:rsid w:val="0043243C"/>
    <w:rsid w:val="004341DA"/>
    <w:rsid w:val="00441955"/>
    <w:rsid w:val="004420EC"/>
    <w:rsid w:val="00463B84"/>
    <w:rsid w:val="00464A0D"/>
    <w:rsid w:val="00465E75"/>
    <w:rsid w:val="0047053F"/>
    <w:rsid w:val="004A199C"/>
    <w:rsid w:val="004B25FE"/>
    <w:rsid w:val="004B41BC"/>
    <w:rsid w:val="004B49C1"/>
    <w:rsid w:val="004B66B1"/>
    <w:rsid w:val="004C21AD"/>
    <w:rsid w:val="004C21F5"/>
    <w:rsid w:val="004C7174"/>
    <w:rsid w:val="004D05DB"/>
    <w:rsid w:val="004F7296"/>
    <w:rsid w:val="00502F52"/>
    <w:rsid w:val="0051328B"/>
    <w:rsid w:val="00513D0D"/>
    <w:rsid w:val="0052624B"/>
    <w:rsid w:val="005323AA"/>
    <w:rsid w:val="00541D19"/>
    <w:rsid w:val="0055400F"/>
    <w:rsid w:val="00565BDF"/>
    <w:rsid w:val="0056798C"/>
    <w:rsid w:val="0057673D"/>
    <w:rsid w:val="00582530"/>
    <w:rsid w:val="00590957"/>
    <w:rsid w:val="0059336F"/>
    <w:rsid w:val="00595285"/>
    <w:rsid w:val="005A2C54"/>
    <w:rsid w:val="005A5A4D"/>
    <w:rsid w:val="005B0077"/>
    <w:rsid w:val="005B4036"/>
    <w:rsid w:val="005E60C0"/>
    <w:rsid w:val="005F0F21"/>
    <w:rsid w:val="005F1735"/>
    <w:rsid w:val="005F1FC8"/>
    <w:rsid w:val="005F5BEC"/>
    <w:rsid w:val="005F6713"/>
    <w:rsid w:val="005F7141"/>
    <w:rsid w:val="00611911"/>
    <w:rsid w:val="0062018B"/>
    <w:rsid w:val="006271FC"/>
    <w:rsid w:val="00630374"/>
    <w:rsid w:val="00640ACE"/>
    <w:rsid w:val="00643097"/>
    <w:rsid w:val="00662D25"/>
    <w:rsid w:val="00671771"/>
    <w:rsid w:val="0069444F"/>
    <w:rsid w:val="006C7801"/>
    <w:rsid w:val="006E6F80"/>
    <w:rsid w:val="006F3C71"/>
    <w:rsid w:val="006F5FBA"/>
    <w:rsid w:val="00717DA1"/>
    <w:rsid w:val="00726570"/>
    <w:rsid w:val="00726F49"/>
    <w:rsid w:val="007325DE"/>
    <w:rsid w:val="0073285C"/>
    <w:rsid w:val="00733931"/>
    <w:rsid w:val="007607E7"/>
    <w:rsid w:val="00797354"/>
    <w:rsid w:val="007A062C"/>
    <w:rsid w:val="007A522E"/>
    <w:rsid w:val="007B0F09"/>
    <w:rsid w:val="007B2319"/>
    <w:rsid w:val="007D2621"/>
    <w:rsid w:val="007D5DC2"/>
    <w:rsid w:val="007D6C39"/>
    <w:rsid w:val="008111E1"/>
    <w:rsid w:val="00820F76"/>
    <w:rsid w:val="0084750C"/>
    <w:rsid w:val="00852113"/>
    <w:rsid w:val="0086321C"/>
    <w:rsid w:val="0086365D"/>
    <w:rsid w:val="00865B30"/>
    <w:rsid w:val="00866BD7"/>
    <w:rsid w:val="00874219"/>
    <w:rsid w:val="008902DC"/>
    <w:rsid w:val="00895339"/>
    <w:rsid w:val="00896621"/>
    <w:rsid w:val="00897C04"/>
    <w:rsid w:val="008C4323"/>
    <w:rsid w:val="008C6ED2"/>
    <w:rsid w:val="008D55E7"/>
    <w:rsid w:val="0090207A"/>
    <w:rsid w:val="00913FBF"/>
    <w:rsid w:val="00916532"/>
    <w:rsid w:val="00923C7E"/>
    <w:rsid w:val="00936704"/>
    <w:rsid w:val="009423C9"/>
    <w:rsid w:val="009606BC"/>
    <w:rsid w:val="00967E57"/>
    <w:rsid w:val="00994E59"/>
    <w:rsid w:val="009A6542"/>
    <w:rsid w:val="009D66D2"/>
    <w:rsid w:val="009E7645"/>
    <w:rsid w:val="00A10F7F"/>
    <w:rsid w:val="00A1234E"/>
    <w:rsid w:val="00A124F9"/>
    <w:rsid w:val="00A1433A"/>
    <w:rsid w:val="00A148CE"/>
    <w:rsid w:val="00A2373F"/>
    <w:rsid w:val="00A24465"/>
    <w:rsid w:val="00A24F96"/>
    <w:rsid w:val="00A25695"/>
    <w:rsid w:val="00A278BD"/>
    <w:rsid w:val="00A31E73"/>
    <w:rsid w:val="00A40610"/>
    <w:rsid w:val="00A4220E"/>
    <w:rsid w:val="00A44A63"/>
    <w:rsid w:val="00A60183"/>
    <w:rsid w:val="00A645CD"/>
    <w:rsid w:val="00A64A5B"/>
    <w:rsid w:val="00A72420"/>
    <w:rsid w:val="00A75297"/>
    <w:rsid w:val="00A81C33"/>
    <w:rsid w:val="00AA1C3E"/>
    <w:rsid w:val="00AA497E"/>
    <w:rsid w:val="00AA49A9"/>
    <w:rsid w:val="00AB73B6"/>
    <w:rsid w:val="00AC6A89"/>
    <w:rsid w:val="00AD29A3"/>
    <w:rsid w:val="00AF3C2A"/>
    <w:rsid w:val="00B067EB"/>
    <w:rsid w:val="00B14C37"/>
    <w:rsid w:val="00B361DF"/>
    <w:rsid w:val="00B47672"/>
    <w:rsid w:val="00B5261B"/>
    <w:rsid w:val="00B54440"/>
    <w:rsid w:val="00B554E7"/>
    <w:rsid w:val="00B71E24"/>
    <w:rsid w:val="00B73ABB"/>
    <w:rsid w:val="00B95D8A"/>
    <w:rsid w:val="00BA2BBD"/>
    <w:rsid w:val="00BB6506"/>
    <w:rsid w:val="00BB6643"/>
    <w:rsid w:val="00BC17FA"/>
    <w:rsid w:val="00BC36B2"/>
    <w:rsid w:val="00BD49FB"/>
    <w:rsid w:val="00BD4ED9"/>
    <w:rsid w:val="00BD7232"/>
    <w:rsid w:val="00BE1921"/>
    <w:rsid w:val="00BE4D9D"/>
    <w:rsid w:val="00BF24F5"/>
    <w:rsid w:val="00BF25F6"/>
    <w:rsid w:val="00BF35E8"/>
    <w:rsid w:val="00C035B5"/>
    <w:rsid w:val="00C04582"/>
    <w:rsid w:val="00C21AB6"/>
    <w:rsid w:val="00C3262F"/>
    <w:rsid w:val="00C3329D"/>
    <w:rsid w:val="00C343CC"/>
    <w:rsid w:val="00C37980"/>
    <w:rsid w:val="00C44EF4"/>
    <w:rsid w:val="00C53622"/>
    <w:rsid w:val="00C66E1E"/>
    <w:rsid w:val="00C676BA"/>
    <w:rsid w:val="00C77B67"/>
    <w:rsid w:val="00C81AB4"/>
    <w:rsid w:val="00C82CDF"/>
    <w:rsid w:val="00C84E5F"/>
    <w:rsid w:val="00C85795"/>
    <w:rsid w:val="00C857BF"/>
    <w:rsid w:val="00C86B2B"/>
    <w:rsid w:val="00C878DE"/>
    <w:rsid w:val="00CA2053"/>
    <w:rsid w:val="00CA60EC"/>
    <w:rsid w:val="00CC41DB"/>
    <w:rsid w:val="00CC59AE"/>
    <w:rsid w:val="00CC5E1C"/>
    <w:rsid w:val="00D2102C"/>
    <w:rsid w:val="00D25DBE"/>
    <w:rsid w:val="00D25ED4"/>
    <w:rsid w:val="00D300F1"/>
    <w:rsid w:val="00D36D52"/>
    <w:rsid w:val="00D56DEA"/>
    <w:rsid w:val="00D72DAC"/>
    <w:rsid w:val="00D74109"/>
    <w:rsid w:val="00D753F4"/>
    <w:rsid w:val="00D75ABD"/>
    <w:rsid w:val="00D9481E"/>
    <w:rsid w:val="00D955ED"/>
    <w:rsid w:val="00D97AD9"/>
    <w:rsid w:val="00DD17CC"/>
    <w:rsid w:val="00DD19ED"/>
    <w:rsid w:val="00DE3513"/>
    <w:rsid w:val="00DE4764"/>
    <w:rsid w:val="00DF440D"/>
    <w:rsid w:val="00E11567"/>
    <w:rsid w:val="00E2199A"/>
    <w:rsid w:val="00E274FF"/>
    <w:rsid w:val="00E31C9F"/>
    <w:rsid w:val="00E3310A"/>
    <w:rsid w:val="00E33B9E"/>
    <w:rsid w:val="00E33C1C"/>
    <w:rsid w:val="00E430E9"/>
    <w:rsid w:val="00E56ECD"/>
    <w:rsid w:val="00E95973"/>
    <w:rsid w:val="00EA3C8A"/>
    <w:rsid w:val="00EA5C79"/>
    <w:rsid w:val="00EB382A"/>
    <w:rsid w:val="00EB57F5"/>
    <w:rsid w:val="00EB5BFC"/>
    <w:rsid w:val="00EC01CF"/>
    <w:rsid w:val="00EC2F9D"/>
    <w:rsid w:val="00EC458F"/>
    <w:rsid w:val="00ED2437"/>
    <w:rsid w:val="00ED70B8"/>
    <w:rsid w:val="00EE3803"/>
    <w:rsid w:val="00EF53F1"/>
    <w:rsid w:val="00F01226"/>
    <w:rsid w:val="00F0149B"/>
    <w:rsid w:val="00F07840"/>
    <w:rsid w:val="00F33D8E"/>
    <w:rsid w:val="00F37846"/>
    <w:rsid w:val="00F412F9"/>
    <w:rsid w:val="00F4295D"/>
    <w:rsid w:val="00F80E38"/>
    <w:rsid w:val="00F8646A"/>
    <w:rsid w:val="00F876DE"/>
    <w:rsid w:val="00F95956"/>
    <w:rsid w:val="00F95A9E"/>
    <w:rsid w:val="00FC3A3C"/>
    <w:rsid w:val="00FF0CC9"/>
    <w:rsid w:val="00FF1750"/>
    <w:rsid w:val="00FF721E"/>
    <w:rsid w:val="0D280B22"/>
    <w:rsid w:val="0D73189B"/>
    <w:rsid w:val="174F5A48"/>
    <w:rsid w:val="17C01FB7"/>
    <w:rsid w:val="226024DF"/>
    <w:rsid w:val="2BA352F2"/>
    <w:rsid w:val="2C3E452C"/>
    <w:rsid w:val="309D70F1"/>
    <w:rsid w:val="3BC929E0"/>
    <w:rsid w:val="3E6C3925"/>
    <w:rsid w:val="3F107CA1"/>
    <w:rsid w:val="4367294C"/>
    <w:rsid w:val="45915743"/>
    <w:rsid w:val="491C6D9E"/>
    <w:rsid w:val="4D0C76E6"/>
    <w:rsid w:val="4DC707B1"/>
    <w:rsid w:val="57313955"/>
    <w:rsid w:val="5C302BB6"/>
    <w:rsid w:val="5D5D3B0A"/>
    <w:rsid w:val="5DC06253"/>
    <w:rsid w:val="5F190458"/>
    <w:rsid w:val="614D49F5"/>
    <w:rsid w:val="615F14DA"/>
    <w:rsid w:val="63EE7680"/>
    <w:rsid w:val="64F5357A"/>
    <w:rsid w:val="67C664FE"/>
    <w:rsid w:val="6D3E02DA"/>
    <w:rsid w:val="6D4D3E8A"/>
    <w:rsid w:val="70B24C43"/>
    <w:rsid w:val="716378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33"/>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4"/>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5"/>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6"/>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7"/>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8"/>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9"/>
    <w:semiHidden/>
    <w:unhideWhenUsed/>
    <w:qFormat/>
    <w:uiPriority w:val="9"/>
    <w:pPr>
      <w:keepNext/>
      <w:keepLines/>
      <w:spacing w:before="120" w:after="0"/>
      <w:outlineLvl w:val="6"/>
    </w:pPr>
    <w:rPr>
      <w:i/>
      <w:iCs/>
    </w:rPr>
  </w:style>
  <w:style w:type="paragraph" w:styleId="10">
    <w:name w:val="heading 8"/>
    <w:basedOn w:val="1"/>
    <w:next w:val="1"/>
    <w:link w:val="40"/>
    <w:semiHidden/>
    <w:unhideWhenUsed/>
    <w:qFormat/>
    <w:uiPriority w:val="9"/>
    <w:pPr>
      <w:keepNext/>
      <w:keepLines/>
      <w:spacing w:before="120" w:after="0"/>
      <w:outlineLvl w:val="7"/>
    </w:pPr>
    <w:rPr>
      <w:b/>
      <w:bCs/>
    </w:rPr>
  </w:style>
  <w:style w:type="paragraph" w:styleId="11">
    <w:name w:val="heading 9"/>
    <w:basedOn w:val="1"/>
    <w:next w:val="1"/>
    <w:link w:val="41"/>
    <w:semiHidden/>
    <w:unhideWhenUsed/>
    <w:qFormat/>
    <w:uiPriority w:val="9"/>
    <w:pPr>
      <w:keepNext/>
      <w:keepLines/>
      <w:spacing w:before="120" w:after="0"/>
      <w:outlineLvl w:val="8"/>
    </w:pPr>
    <w:rPr>
      <w:i/>
      <w:iCs/>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
    <w:semiHidden/>
    <w:unhideWhenUsed/>
    <w:qFormat/>
    <w:uiPriority w:val="99"/>
    <w:pPr>
      <w:spacing w:after="120"/>
    </w:p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semiHidden/>
    <w:unhideWhenUsed/>
    <w:qFormat/>
    <w:uiPriority w:val="35"/>
    <w:rPr>
      <w:b/>
      <w:bCs/>
      <w:sz w:val="18"/>
      <w:szCs w:val="18"/>
    </w:rPr>
  </w:style>
  <w:style w:type="paragraph" w:styleId="14">
    <w:name w:val="annotation text"/>
    <w:basedOn w:val="1"/>
    <w:semiHidden/>
    <w:unhideWhenUsed/>
    <w:qFormat/>
    <w:uiPriority w:val="99"/>
    <w:pPr>
      <w:jc w:val="left"/>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43"/>
    <w:unhideWhenUsed/>
    <w:qFormat/>
    <w:uiPriority w:val="0"/>
    <w:rPr>
      <w:rFonts w:hAnsi="Courier New" w:cs="Courier New" w:asciiTheme="minorEastAsia"/>
    </w:rPr>
  </w:style>
  <w:style w:type="paragraph" w:styleId="17">
    <w:name w:val="Date"/>
    <w:basedOn w:val="1"/>
    <w:next w:val="1"/>
    <w:qFormat/>
    <w:uiPriority w:val="0"/>
    <w:pPr>
      <w:adjustRightInd w:val="0"/>
      <w:spacing w:line="360" w:lineRule="atLeast"/>
      <w:textAlignment w:val="baseline"/>
    </w:pPr>
    <w:rPr>
      <w:sz w:val="24"/>
      <w:szCs w:val="20"/>
    </w:rPr>
  </w:style>
  <w:style w:type="paragraph" w:styleId="18">
    <w:name w:val="Balloon Text"/>
    <w:basedOn w:val="1"/>
    <w:link w:val="65"/>
    <w:semiHidden/>
    <w:unhideWhenUsed/>
    <w:qFormat/>
    <w:uiPriority w:val="99"/>
    <w:pPr>
      <w:spacing w:after="0" w:line="240" w:lineRule="auto"/>
    </w:pPr>
    <w:rPr>
      <w:sz w:val="18"/>
      <w:szCs w:val="18"/>
    </w:rPr>
  </w:style>
  <w:style w:type="paragraph" w:styleId="19">
    <w:name w:val="footer"/>
    <w:basedOn w:val="1"/>
    <w:link w:val="44"/>
    <w:unhideWhenUsed/>
    <w:qFormat/>
    <w:uiPriority w:val="99"/>
    <w:pPr>
      <w:tabs>
        <w:tab w:val="center" w:pos="4153"/>
        <w:tab w:val="right" w:pos="8306"/>
      </w:tabs>
      <w:snapToGrid w:val="0"/>
      <w:spacing w:line="240" w:lineRule="auto"/>
      <w:jc w:val="left"/>
    </w:pPr>
    <w:rPr>
      <w:sz w:val="18"/>
      <w:szCs w:val="18"/>
    </w:rPr>
  </w:style>
  <w:style w:type="paragraph" w:styleId="20">
    <w:name w:val="header"/>
    <w:basedOn w:val="1"/>
    <w:link w:val="4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unhideWhenUsed/>
    <w:qFormat/>
    <w:uiPriority w:val="39"/>
    <w:pPr>
      <w:spacing w:after="100" w:line="259" w:lineRule="auto"/>
      <w:jc w:val="left"/>
    </w:pPr>
    <w:rPr>
      <w:rFonts w:cs="Times New Roman"/>
    </w:rPr>
  </w:style>
  <w:style w:type="paragraph" w:styleId="22">
    <w:name w:val="Subtitle"/>
    <w:basedOn w:val="1"/>
    <w:next w:val="1"/>
    <w:link w:val="46"/>
    <w:qFormat/>
    <w:uiPriority w:val="11"/>
    <w:pPr>
      <w:spacing w:after="240"/>
      <w:jc w:val="center"/>
    </w:pPr>
    <w:rPr>
      <w:rFonts w:asciiTheme="majorHAnsi" w:hAnsiTheme="majorHAnsi" w:eastAsiaTheme="majorEastAsia" w:cstheme="majorBidi"/>
      <w:sz w:val="24"/>
      <w:szCs w:val="24"/>
    </w:rPr>
  </w:style>
  <w:style w:type="paragraph" w:styleId="23">
    <w:name w:val="Body Text Indent 3"/>
    <w:basedOn w:val="1"/>
    <w:link w:val="4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4">
    <w:name w:val="toc 2"/>
    <w:basedOn w:val="1"/>
    <w:next w:val="1"/>
    <w:unhideWhenUsed/>
    <w:qFormat/>
    <w:uiPriority w:val="39"/>
    <w:pPr>
      <w:spacing w:after="100" w:line="259" w:lineRule="auto"/>
      <w:ind w:left="220"/>
      <w:jc w:val="left"/>
    </w:pPr>
    <w:rPr>
      <w:rFonts w:cs="Times New Roman"/>
    </w:rPr>
  </w:style>
  <w:style w:type="paragraph" w:styleId="25">
    <w:name w:val="Title"/>
    <w:basedOn w:val="1"/>
    <w:next w:val="1"/>
    <w:link w:val="4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color w:val="auto"/>
    </w:rPr>
  </w:style>
  <w:style w:type="character" w:styleId="30">
    <w:name w:val="Emphasis"/>
    <w:basedOn w:val="28"/>
    <w:qFormat/>
    <w:uiPriority w:val="20"/>
    <w:rPr>
      <w:i/>
      <w:iCs/>
      <w:color w:val="auto"/>
    </w:rPr>
  </w:style>
  <w:style w:type="character" w:styleId="31">
    <w:name w:val="Hyperlink"/>
    <w:basedOn w:val="28"/>
    <w:unhideWhenUsed/>
    <w:qFormat/>
    <w:uiPriority w:val="99"/>
    <w:rPr>
      <w:color w:val="F49100" w:themeColor="hyperlink"/>
      <w:u w:val="single"/>
      <w14:textFill>
        <w14:solidFill>
          <w14:schemeClr w14:val="hlink"/>
        </w14:solidFill>
      </w14:textFill>
    </w:rPr>
  </w:style>
  <w:style w:type="character" w:styleId="32">
    <w:name w:val="annotation reference"/>
    <w:basedOn w:val="28"/>
    <w:semiHidden/>
    <w:unhideWhenUsed/>
    <w:qFormat/>
    <w:uiPriority w:val="99"/>
    <w:rPr>
      <w:sz w:val="21"/>
      <w:szCs w:val="21"/>
    </w:rPr>
  </w:style>
  <w:style w:type="character" w:customStyle="1" w:styleId="33">
    <w:name w:val="标题 1 Char"/>
    <w:basedOn w:val="28"/>
    <w:link w:val="3"/>
    <w:qFormat/>
    <w:uiPriority w:val="9"/>
    <w:rPr>
      <w:rFonts w:asciiTheme="majorHAnsi" w:hAnsiTheme="majorHAnsi" w:eastAsiaTheme="majorEastAsia" w:cstheme="majorBidi"/>
      <w:b/>
      <w:bCs/>
      <w:caps/>
      <w:spacing w:val="4"/>
      <w:sz w:val="28"/>
      <w:szCs w:val="28"/>
    </w:rPr>
  </w:style>
  <w:style w:type="character" w:customStyle="1" w:styleId="34">
    <w:name w:val="标题 2 Char"/>
    <w:basedOn w:val="28"/>
    <w:link w:val="4"/>
    <w:qFormat/>
    <w:uiPriority w:val="9"/>
    <w:rPr>
      <w:rFonts w:asciiTheme="majorHAnsi" w:hAnsiTheme="majorHAnsi" w:eastAsiaTheme="majorEastAsia" w:cstheme="majorBidi"/>
      <w:b/>
      <w:bCs/>
      <w:sz w:val="28"/>
      <w:szCs w:val="28"/>
    </w:rPr>
  </w:style>
  <w:style w:type="character" w:customStyle="1" w:styleId="35">
    <w:name w:val="标题 3 Char"/>
    <w:basedOn w:val="28"/>
    <w:link w:val="5"/>
    <w:qFormat/>
    <w:uiPriority w:val="9"/>
    <w:rPr>
      <w:rFonts w:asciiTheme="majorHAnsi" w:hAnsiTheme="majorHAnsi" w:eastAsiaTheme="majorEastAsia" w:cstheme="majorBidi"/>
      <w:spacing w:val="4"/>
      <w:sz w:val="24"/>
      <w:szCs w:val="24"/>
    </w:rPr>
  </w:style>
  <w:style w:type="character" w:customStyle="1" w:styleId="36">
    <w:name w:val="标题 4 Char"/>
    <w:basedOn w:val="28"/>
    <w:link w:val="6"/>
    <w:semiHidden/>
    <w:qFormat/>
    <w:uiPriority w:val="9"/>
    <w:rPr>
      <w:rFonts w:asciiTheme="majorHAnsi" w:hAnsiTheme="majorHAnsi" w:eastAsiaTheme="majorEastAsia" w:cstheme="majorBidi"/>
      <w:i/>
      <w:iCs/>
      <w:sz w:val="24"/>
      <w:szCs w:val="24"/>
    </w:rPr>
  </w:style>
  <w:style w:type="character" w:customStyle="1" w:styleId="37">
    <w:name w:val="标题 5 Char"/>
    <w:basedOn w:val="28"/>
    <w:link w:val="7"/>
    <w:semiHidden/>
    <w:qFormat/>
    <w:uiPriority w:val="9"/>
    <w:rPr>
      <w:rFonts w:asciiTheme="majorHAnsi" w:hAnsiTheme="majorHAnsi" w:eastAsiaTheme="majorEastAsia" w:cstheme="majorBidi"/>
      <w:b/>
      <w:bCs/>
    </w:rPr>
  </w:style>
  <w:style w:type="character" w:customStyle="1" w:styleId="38">
    <w:name w:val="标题 6 Char"/>
    <w:basedOn w:val="28"/>
    <w:link w:val="8"/>
    <w:semiHidden/>
    <w:qFormat/>
    <w:uiPriority w:val="9"/>
    <w:rPr>
      <w:rFonts w:asciiTheme="majorHAnsi" w:hAnsiTheme="majorHAnsi" w:eastAsiaTheme="majorEastAsia" w:cstheme="majorBidi"/>
      <w:b/>
      <w:bCs/>
      <w:i/>
      <w:iCs/>
    </w:rPr>
  </w:style>
  <w:style w:type="character" w:customStyle="1" w:styleId="39">
    <w:name w:val="标题 7 Char"/>
    <w:basedOn w:val="28"/>
    <w:link w:val="9"/>
    <w:semiHidden/>
    <w:qFormat/>
    <w:uiPriority w:val="9"/>
    <w:rPr>
      <w:i/>
      <w:iCs/>
    </w:rPr>
  </w:style>
  <w:style w:type="character" w:customStyle="1" w:styleId="40">
    <w:name w:val="标题 8 Char"/>
    <w:basedOn w:val="28"/>
    <w:link w:val="10"/>
    <w:semiHidden/>
    <w:qFormat/>
    <w:uiPriority w:val="9"/>
    <w:rPr>
      <w:b/>
      <w:bCs/>
    </w:rPr>
  </w:style>
  <w:style w:type="character" w:customStyle="1" w:styleId="41">
    <w:name w:val="标题 9 Char"/>
    <w:basedOn w:val="28"/>
    <w:link w:val="11"/>
    <w:semiHidden/>
    <w:qFormat/>
    <w:uiPriority w:val="9"/>
    <w:rPr>
      <w:i/>
      <w:iCs/>
    </w:rPr>
  </w:style>
  <w:style w:type="character" w:customStyle="1" w:styleId="42">
    <w:name w:val="正文文本 Char"/>
    <w:basedOn w:val="28"/>
    <w:link w:val="2"/>
    <w:semiHidden/>
    <w:qFormat/>
    <w:uiPriority w:val="99"/>
  </w:style>
  <w:style w:type="character" w:customStyle="1" w:styleId="43">
    <w:name w:val="纯文本 Char1"/>
    <w:basedOn w:val="28"/>
    <w:link w:val="16"/>
    <w:qFormat/>
    <w:uiPriority w:val="0"/>
    <w:rPr>
      <w:rFonts w:hAnsi="Courier New" w:cs="Courier New" w:asciiTheme="minorEastAsia"/>
    </w:rPr>
  </w:style>
  <w:style w:type="character" w:customStyle="1" w:styleId="44">
    <w:name w:val="页脚 Char"/>
    <w:basedOn w:val="28"/>
    <w:link w:val="19"/>
    <w:qFormat/>
    <w:uiPriority w:val="99"/>
    <w:rPr>
      <w:sz w:val="18"/>
      <w:szCs w:val="18"/>
    </w:rPr>
  </w:style>
  <w:style w:type="character" w:customStyle="1" w:styleId="45">
    <w:name w:val="页眉 Char"/>
    <w:basedOn w:val="28"/>
    <w:link w:val="20"/>
    <w:qFormat/>
    <w:uiPriority w:val="99"/>
    <w:rPr>
      <w:sz w:val="18"/>
      <w:szCs w:val="18"/>
    </w:rPr>
  </w:style>
  <w:style w:type="character" w:customStyle="1" w:styleId="46">
    <w:name w:val="副标题 Char"/>
    <w:basedOn w:val="28"/>
    <w:link w:val="22"/>
    <w:qFormat/>
    <w:uiPriority w:val="11"/>
    <w:rPr>
      <w:rFonts w:asciiTheme="majorHAnsi" w:hAnsiTheme="majorHAnsi" w:eastAsiaTheme="majorEastAsia" w:cstheme="majorBidi"/>
      <w:sz w:val="24"/>
      <w:szCs w:val="24"/>
    </w:rPr>
  </w:style>
  <w:style w:type="character" w:customStyle="1" w:styleId="47">
    <w:name w:val="正文文本缩进 3 Char"/>
    <w:basedOn w:val="28"/>
    <w:link w:val="23"/>
    <w:qFormat/>
    <w:uiPriority w:val="0"/>
    <w:rPr>
      <w:rFonts w:ascii="Times New Roman" w:hAnsi="Times New Roman" w:eastAsia="宋体" w:cs="Times New Roman"/>
      <w:kern w:val="2"/>
      <w:sz w:val="16"/>
      <w:szCs w:val="16"/>
    </w:rPr>
  </w:style>
  <w:style w:type="character" w:customStyle="1" w:styleId="48">
    <w:name w:val="标题 Char"/>
    <w:basedOn w:val="28"/>
    <w:link w:val="25"/>
    <w:qFormat/>
    <w:uiPriority w:val="10"/>
    <w:rPr>
      <w:rFonts w:asciiTheme="majorHAnsi" w:hAnsiTheme="majorHAnsi" w:eastAsiaTheme="majorEastAsia" w:cstheme="majorBidi"/>
      <w:b/>
      <w:bCs/>
      <w:spacing w:val="-7"/>
      <w:sz w:val="48"/>
      <w:szCs w:val="48"/>
    </w:rPr>
  </w:style>
  <w:style w:type="paragraph" w:styleId="49">
    <w:name w:val="No Spacing"/>
    <w:link w:val="50"/>
    <w:qFormat/>
    <w:uiPriority w:val="1"/>
    <w:pPr>
      <w:jc w:val="both"/>
    </w:pPr>
    <w:rPr>
      <w:rFonts w:asciiTheme="minorHAnsi" w:hAnsiTheme="minorHAnsi" w:eastAsiaTheme="minorEastAsia" w:cstheme="minorBidi"/>
      <w:sz w:val="22"/>
      <w:szCs w:val="22"/>
      <w:lang w:val="en-US" w:eastAsia="zh-CN" w:bidi="ar-SA"/>
    </w:rPr>
  </w:style>
  <w:style w:type="character" w:customStyle="1" w:styleId="50">
    <w:name w:val="无间隔 Char"/>
    <w:basedOn w:val="28"/>
    <w:link w:val="49"/>
    <w:qFormat/>
    <w:uiPriority w:val="1"/>
  </w:style>
  <w:style w:type="paragraph" w:styleId="51">
    <w:name w:val="Quote"/>
    <w:basedOn w:val="1"/>
    <w:next w:val="1"/>
    <w:link w:val="5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52">
    <w:name w:val="引用 Char"/>
    <w:basedOn w:val="28"/>
    <w:link w:val="51"/>
    <w:qFormat/>
    <w:uiPriority w:val="29"/>
    <w:rPr>
      <w:rFonts w:asciiTheme="majorHAnsi" w:hAnsiTheme="majorHAnsi" w:eastAsiaTheme="majorEastAsia" w:cstheme="majorBidi"/>
      <w:i/>
      <w:iCs/>
      <w:sz w:val="24"/>
      <w:szCs w:val="24"/>
    </w:rPr>
  </w:style>
  <w:style w:type="paragraph" w:styleId="53">
    <w:name w:val="Intense Quote"/>
    <w:basedOn w:val="1"/>
    <w:next w:val="1"/>
    <w:link w:val="5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54">
    <w:name w:val="明显引用 Char"/>
    <w:basedOn w:val="28"/>
    <w:link w:val="53"/>
    <w:qFormat/>
    <w:uiPriority w:val="30"/>
    <w:rPr>
      <w:rFonts w:asciiTheme="majorHAnsi" w:hAnsiTheme="majorHAnsi" w:eastAsiaTheme="majorEastAsia" w:cstheme="majorBidi"/>
      <w:sz w:val="26"/>
      <w:szCs w:val="26"/>
    </w:rPr>
  </w:style>
  <w:style w:type="character" w:customStyle="1" w:styleId="55">
    <w:name w:val="不明显强调1"/>
    <w:basedOn w:val="28"/>
    <w:qFormat/>
    <w:uiPriority w:val="19"/>
    <w:rPr>
      <w:i/>
      <w:iCs/>
      <w:color w:val="auto"/>
    </w:rPr>
  </w:style>
  <w:style w:type="character" w:customStyle="1" w:styleId="56">
    <w:name w:val="明显强调1"/>
    <w:basedOn w:val="28"/>
    <w:qFormat/>
    <w:uiPriority w:val="21"/>
    <w:rPr>
      <w:b/>
      <w:bCs/>
      <w:i/>
      <w:iCs/>
      <w:color w:val="auto"/>
    </w:rPr>
  </w:style>
  <w:style w:type="character" w:customStyle="1" w:styleId="57">
    <w:name w:val="不明显参考1"/>
    <w:basedOn w:val="28"/>
    <w:qFormat/>
    <w:uiPriority w:val="31"/>
    <w:rPr>
      <w:smallCaps/>
      <w:color w:val="auto"/>
      <w:u w:val="single" w:color="7E7E7E" w:themeColor="text1" w:themeTint="80"/>
    </w:rPr>
  </w:style>
  <w:style w:type="character" w:customStyle="1" w:styleId="58">
    <w:name w:val="明显参考1"/>
    <w:basedOn w:val="28"/>
    <w:qFormat/>
    <w:uiPriority w:val="32"/>
    <w:rPr>
      <w:b/>
      <w:bCs/>
      <w:smallCaps/>
      <w:color w:val="auto"/>
      <w:u w:val="single"/>
    </w:rPr>
  </w:style>
  <w:style w:type="character" w:customStyle="1" w:styleId="59">
    <w:name w:val="书籍标题1"/>
    <w:basedOn w:val="28"/>
    <w:qFormat/>
    <w:uiPriority w:val="33"/>
    <w:rPr>
      <w:b/>
      <w:bCs/>
      <w:smallCaps/>
      <w:color w:val="auto"/>
    </w:rPr>
  </w:style>
  <w:style w:type="paragraph" w:customStyle="1" w:styleId="60">
    <w:name w:val="TOC 标题1"/>
    <w:basedOn w:val="3"/>
    <w:next w:val="1"/>
    <w:unhideWhenUsed/>
    <w:qFormat/>
    <w:uiPriority w:val="39"/>
    <w:pPr>
      <w:outlineLvl w:val="9"/>
    </w:pPr>
  </w:style>
  <w:style w:type="paragraph" w:customStyle="1" w:styleId="6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2">
    <w:name w:val="List Paragraph"/>
    <w:basedOn w:val="1"/>
    <w:qFormat/>
    <w:uiPriority w:val="34"/>
    <w:pPr>
      <w:ind w:firstLine="420" w:firstLineChars="200"/>
    </w:pPr>
  </w:style>
  <w:style w:type="paragraph" w:customStyle="1" w:styleId="63">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64">
    <w:name w:val="纯文本 Char"/>
    <w:qFormat/>
    <w:uiPriority w:val="0"/>
    <w:rPr>
      <w:rFonts w:ascii="宋体" w:hAnsi="Courier New" w:eastAsia="宋体"/>
      <w:kern w:val="2"/>
      <w:sz w:val="21"/>
      <w:lang w:val="en-US" w:eastAsia="zh-CN" w:bidi="ar-SA"/>
    </w:rPr>
  </w:style>
  <w:style w:type="character" w:customStyle="1" w:styleId="65">
    <w:name w:val="批注框文本 Char"/>
    <w:basedOn w:val="28"/>
    <w:link w:val="1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0C1D1A-B47A-40C2-A377-144C57056EB8}">
  <ds:schemaRefs/>
</ds:datastoreItem>
</file>

<file path=docProps/app.xml><?xml version="1.0" encoding="utf-8"?>
<Properties xmlns="http://schemas.openxmlformats.org/officeDocument/2006/extended-properties" xmlns:vt="http://schemas.openxmlformats.org/officeDocument/2006/docPropsVTypes">
  <Template>Normal</Template>
  <Pages>12</Pages>
  <Words>685</Words>
  <Characters>3905</Characters>
  <Lines>32</Lines>
  <Paragraphs>9</Paragraphs>
  <TotalTime>2</TotalTime>
  <ScaleCrop>false</ScaleCrop>
  <LinksUpToDate>false</LinksUpToDate>
  <CharactersWithSpaces>4581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2021-07-12T10:38:00Z</dcterms:created>
  <dc:creator>树亮 门</dc:creator>
  <cp:lastModifiedBy>刘轩辰</cp:lastModifiedBy>
  <cp:lastPrinted>2020-07-28T09:28:00Z</cp:lastPrinted>
  <dcterms:modified xsi:type="dcterms:W3CDTF">2021-08-27T08:53:43Z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8FBCDF75B509490FBF66D02049BA4218</vt:lpwstr>
  </property>
</Properties>
</file>